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2" w:type="dxa"/>
        <w:tblInd w:w="95" w:type="dxa"/>
        <w:tblLayout w:type="fixed"/>
        <w:tblLook w:val="04A0"/>
      </w:tblPr>
      <w:tblGrid>
        <w:gridCol w:w="3557"/>
        <w:gridCol w:w="993"/>
        <w:gridCol w:w="1300"/>
        <w:gridCol w:w="1049"/>
        <w:gridCol w:w="1053"/>
        <w:gridCol w:w="992"/>
        <w:gridCol w:w="1134"/>
        <w:gridCol w:w="1265"/>
        <w:gridCol w:w="1145"/>
        <w:gridCol w:w="992"/>
        <w:gridCol w:w="992"/>
        <w:gridCol w:w="1140"/>
      </w:tblGrid>
      <w:tr w:rsidR="00DA1432" w:rsidRPr="00DA1432" w:rsidTr="00DA1432">
        <w:trPr>
          <w:trHeight w:val="345"/>
        </w:trPr>
        <w:tc>
          <w:tcPr>
            <w:tcW w:w="15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 xml:space="preserve">ОТЧЕТ </w:t>
            </w:r>
          </w:p>
        </w:tc>
      </w:tr>
      <w:tr w:rsidR="00DA1432" w:rsidRPr="00DA1432" w:rsidTr="00DA1432">
        <w:trPr>
          <w:trHeight w:val="825"/>
        </w:trPr>
        <w:tc>
          <w:tcPr>
            <w:tcW w:w="15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 xml:space="preserve"> О РЕАЛИЗАЦИИ МЕРОПРИЯТИЙ МУНИЦИПАЛЬНОЙ ПРОГРАММЫ    «РАЗВИТИЕ АВТОМОБИЛЬНЫХ ДОРОГ НА ТЕРРИТОРИИ МО «СОВЕТСКОЕ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ГОРОДСКОЕ  ПОСЕЛЕНИЕ» на 01 января 2024 года (нарастающим итогом)</w:t>
            </w:r>
          </w:p>
        </w:tc>
      </w:tr>
      <w:tr w:rsidR="00DA1432" w:rsidRPr="00DA1432" w:rsidTr="00DA1432">
        <w:trPr>
          <w:trHeight w:val="37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432" w:rsidRPr="00DA1432" w:rsidRDefault="00DA1432" w:rsidP="00DA1432">
            <w:pPr>
              <w:jc w:val="right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DA143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1432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DA1432" w:rsidRPr="00DA1432" w:rsidTr="0056455E">
        <w:trPr>
          <w:trHeight w:val="73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                                                                               План на 2023 год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5645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Факт за 2023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% исполнения за 2023 год</w:t>
            </w:r>
          </w:p>
        </w:tc>
      </w:tr>
      <w:tr w:rsidR="00DA1432" w:rsidRPr="00DA1432" w:rsidTr="00DA1432">
        <w:trPr>
          <w:trHeight w:val="27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</w:tr>
      <w:tr w:rsidR="00DA1432" w:rsidRPr="00DA1432" w:rsidTr="00DA1432">
        <w:trPr>
          <w:trHeight w:val="852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</w:p>
        </w:tc>
      </w:tr>
      <w:tr w:rsidR="00DA1432" w:rsidRPr="00DA1432" w:rsidTr="00DA1432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A1432" w:rsidRPr="00DA1432" w:rsidTr="00DA1432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 xml:space="preserve">Программа «РАЗВИТИЕ АВТОМОБИЛЬНЫХ ДОРОГ НА ТЕРРИТОРИИ МО «СОВЕТСКОЕ ГОРОДСКОЕ ПОСЕЛЕНИЕ»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17 708,6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1 618,2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16 090,4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16 631,0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1 618,2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15 012,8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93,9</w:t>
            </w:r>
          </w:p>
        </w:tc>
      </w:tr>
      <w:tr w:rsidR="00DA1432" w:rsidRPr="00DA1432" w:rsidTr="00DA1432">
        <w:trPr>
          <w:trHeight w:val="8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1. Комплекс процессных мероприятий  «Развитие автомобильных дорог на территории МО «Советское городское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16 495,3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1 618,2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14 877,1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15 417,7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1 618,2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13 799,5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93,5</w:t>
            </w:r>
          </w:p>
        </w:tc>
      </w:tr>
      <w:tr w:rsidR="00DA1432" w:rsidRPr="00DA1432" w:rsidTr="00DA1432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1.1 Ремонт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6 376,2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6 376,2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6 376,2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6 376,2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1.1.1 Услуги по проведению технической экспертизы асфальтобетонного покрытия дворовой территории, расположенной по адресу: гп </w:t>
            </w:r>
            <w:proofErr w:type="gramStart"/>
            <w:r w:rsidRPr="00DA1432">
              <w:rPr>
                <w:color w:val="000000"/>
                <w:sz w:val="18"/>
                <w:szCs w:val="18"/>
              </w:rPr>
              <w:t>Советский</w:t>
            </w:r>
            <w:proofErr w:type="gramEnd"/>
            <w:r w:rsidRPr="00DA1432">
              <w:rPr>
                <w:color w:val="000000"/>
                <w:sz w:val="18"/>
                <w:szCs w:val="18"/>
              </w:rPr>
              <w:t>, ул. Советская, д.49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34,0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34,0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34,0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34,0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8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1.1.3 Ремонт проезда к дворовой территории многоквартирного дома, расположенного по адресу: гп Советский, ул. </w:t>
            </w:r>
            <w:proofErr w:type="gramStart"/>
            <w:r w:rsidRPr="00DA1432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DA1432">
              <w:rPr>
                <w:color w:val="000000"/>
                <w:sz w:val="18"/>
                <w:szCs w:val="18"/>
              </w:rPr>
              <w:t>, д.49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6 200,0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6 200,0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6 200,0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6 200,0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8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1.1.4 Услуги по осуществлению строительного </w:t>
            </w:r>
            <w:proofErr w:type="gramStart"/>
            <w:r w:rsidRPr="00DA1432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DA1432">
              <w:rPr>
                <w:color w:val="000000"/>
                <w:sz w:val="18"/>
                <w:szCs w:val="18"/>
              </w:rPr>
              <w:t xml:space="preserve"> соответствием выполненных работ проектной документации, требованиям технических регламентов, результатам инженерных изысканий на объектах расположенных на территории МО "Советское городское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142,2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142,2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142,2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142,2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6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1.2 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8 379,1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8 379,1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7 301,5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7 301,5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87,1</w:t>
            </w:r>
          </w:p>
        </w:tc>
      </w:tr>
      <w:tr w:rsidR="00DA1432" w:rsidRPr="00DA1432" w:rsidTr="00DA1432">
        <w:trPr>
          <w:trHeight w:val="12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lastRenderedPageBreak/>
              <w:t>1.2.1 Механизированная уборка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6 200,0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5 618,0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5 618,0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90,6</w:t>
            </w:r>
          </w:p>
        </w:tc>
      </w:tr>
      <w:tr w:rsidR="00DA1432" w:rsidRPr="00DA1432" w:rsidTr="00DA1432">
        <w:trPr>
          <w:trHeight w:val="111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1.2.2 Ямочный ремонт асфальтобетонного покрытия автомобильных дорог, расположенных на территории гп. Советский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1 600,0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1 600,0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111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1.2.3 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579,1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83,5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DA1432" w:rsidRPr="00DA1432" w:rsidTr="00DA1432">
        <w:trPr>
          <w:trHeight w:val="169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1.3 Мероприятия в рамках областного закона Ленинградской области от 15 января 2018 года № 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1 128,5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1 049,5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1 128,5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1 049,5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81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1.3.1 Ремонт дороги по адресу: гп. Советский, ул. </w:t>
            </w:r>
            <w:proofErr w:type="spellStart"/>
            <w:r w:rsidRPr="00DA1432">
              <w:rPr>
                <w:color w:val="000000"/>
                <w:sz w:val="18"/>
                <w:szCs w:val="18"/>
              </w:rPr>
              <w:t>Исполокомовская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1 128,5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1 049,5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1 128,5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1 049,5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195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 xml:space="preserve">1.4 «Мероприятия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568,7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8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1.4.1 Отсыпка участка дороги в пос. Соколинское, ул. Весенний переулок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611,5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568,7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611,5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8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 xml:space="preserve">2. Мероприятия, направленные на достижение цели федерального проекта "Дорожная сеть"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432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A1432" w:rsidRPr="00DA1432" w:rsidTr="00DA1432">
        <w:trPr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32" w:rsidRPr="00DA1432" w:rsidRDefault="00DA1432" w:rsidP="00DA1432">
            <w:pPr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lastRenderedPageBreak/>
              <w:t xml:space="preserve">2.1 Разработка проекта на реконструкцию моста через реку Гороховка в пос. </w:t>
            </w:r>
            <w:proofErr w:type="gramStart"/>
            <w:r w:rsidRPr="00DA1432">
              <w:rPr>
                <w:color w:val="000000"/>
                <w:sz w:val="18"/>
                <w:szCs w:val="18"/>
              </w:rPr>
              <w:t>Черничное</w:t>
            </w:r>
            <w:proofErr w:type="gramEnd"/>
            <w:r w:rsidRPr="00DA1432">
              <w:rPr>
                <w:color w:val="000000"/>
                <w:sz w:val="18"/>
                <w:szCs w:val="18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1 213,3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 xml:space="preserve">1 213,3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432" w:rsidRPr="00DA1432" w:rsidRDefault="00DA1432" w:rsidP="00DA1432">
            <w:pPr>
              <w:jc w:val="center"/>
              <w:rPr>
                <w:color w:val="000000"/>
                <w:sz w:val="18"/>
                <w:szCs w:val="18"/>
              </w:rPr>
            </w:pPr>
            <w:r w:rsidRPr="00DA1432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DA1432" w:rsidRDefault="00DA1432">
      <w:pPr>
        <w:sectPr w:rsidR="00DA1432" w:rsidSect="00DA1432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  <w:r>
        <w:br w:type="page"/>
      </w:r>
    </w:p>
    <w:p w:rsidR="00DA1432" w:rsidRDefault="00DA1432"/>
    <w:tbl>
      <w:tblPr>
        <w:tblpPr w:leftFromText="180" w:rightFromText="180" w:horzAnchor="margin" w:tblpXSpec="center" w:tblpY="-435"/>
        <w:tblW w:w="16420" w:type="dxa"/>
        <w:tblLayout w:type="fixed"/>
        <w:tblLook w:val="04A0"/>
      </w:tblPr>
      <w:tblGrid>
        <w:gridCol w:w="16420"/>
      </w:tblGrid>
      <w:tr w:rsidR="00C573E1" w:rsidRPr="00C573E1" w:rsidTr="00C573E1">
        <w:trPr>
          <w:trHeight w:val="315"/>
        </w:trPr>
        <w:tc>
          <w:tcPr>
            <w:tcW w:w="1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3E1" w:rsidRPr="00C573E1" w:rsidRDefault="00C573E1" w:rsidP="00C573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73E1" w:rsidRPr="00C573E1" w:rsidTr="00C573E1">
        <w:trPr>
          <w:trHeight w:val="315"/>
        </w:trPr>
        <w:tc>
          <w:tcPr>
            <w:tcW w:w="1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3E1" w:rsidRPr="00C573E1" w:rsidRDefault="00C573E1" w:rsidP="00C573E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22840" w:rsidRPr="00E22840" w:rsidRDefault="006713A4" w:rsidP="00E22840">
      <w:pPr>
        <w:ind w:firstLine="360"/>
        <w:jc w:val="center"/>
        <w:rPr>
          <w:b/>
        </w:rPr>
      </w:pPr>
      <w:r>
        <w:rPr>
          <w:b/>
        </w:rPr>
        <w:t>П</w:t>
      </w:r>
      <w:r w:rsidR="00E22840" w:rsidRPr="00E22840">
        <w:rPr>
          <w:b/>
        </w:rPr>
        <w:t>ОЯСНИТЕЛЬНАЯ ЗАПИСКА</w:t>
      </w:r>
    </w:p>
    <w:p w:rsidR="00E22840" w:rsidRPr="00E22840" w:rsidRDefault="00E22840" w:rsidP="00E22840">
      <w:pPr>
        <w:ind w:firstLine="360"/>
        <w:jc w:val="center"/>
        <w:rPr>
          <w:b/>
        </w:rPr>
      </w:pPr>
      <w:r w:rsidRPr="00E22840">
        <w:rPr>
          <w:b/>
        </w:rPr>
        <w:t>к отчету о реализации мероприятий муниципальной программы</w:t>
      </w:r>
    </w:p>
    <w:p w:rsidR="00E22840" w:rsidRPr="00E22840" w:rsidRDefault="00E22840" w:rsidP="00E22840">
      <w:pPr>
        <w:ind w:firstLine="360"/>
        <w:jc w:val="center"/>
        <w:rPr>
          <w:b/>
        </w:rPr>
      </w:pPr>
      <w:r w:rsidRPr="00E22840">
        <w:rPr>
          <w:b/>
        </w:rPr>
        <w:t>«Развитие автомобильных дорог МО «Советское городское поселение»</w:t>
      </w:r>
    </w:p>
    <w:p w:rsidR="00E22840" w:rsidRPr="00E22840" w:rsidRDefault="00352161" w:rsidP="00E22840">
      <w:pPr>
        <w:ind w:firstLine="360"/>
        <w:jc w:val="center"/>
        <w:rPr>
          <w:b/>
        </w:rPr>
      </w:pPr>
      <w:r>
        <w:rPr>
          <w:b/>
        </w:rPr>
        <w:t xml:space="preserve">за </w:t>
      </w:r>
      <w:r w:rsidR="00E22840" w:rsidRPr="00E22840">
        <w:rPr>
          <w:b/>
        </w:rPr>
        <w:t>20</w:t>
      </w:r>
      <w:r w:rsidR="00D602D2">
        <w:rPr>
          <w:b/>
        </w:rPr>
        <w:t>2</w:t>
      </w:r>
      <w:r w:rsidR="00727B4A">
        <w:rPr>
          <w:b/>
        </w:rPr>
        <w:t>3</w:t>
      </w:r>
      <w:r w:rsidR="00D602D2">
        <w:rPr>
          <w:b/>
        </w:rPr>
        <w:t xml:space="preserve"> </w:t>
      </w:r>
      <w:r w:rsidR="00E22840" w:rsidRPr="00E22840">
        <w:rPr>
          <w:b/>
        </w:rPr>
        <w:t>год.</w:t>
      </w:r>
    </w:p>
    <w:p w:rsidR="00E22840" w:rsidRDefault="00E22840" w:rsidP="00E22840">
      <w:pPr>
        <w:ind w:firstLine="360"/>
        <w:jc w:val="both"/>
      </w:pPr>
    </w:p>
    <w:p w:rsidR="005C3B67" w:rsidRPr="006723AA" w:rsidRDefault="00730A93" w:rsidP="00570EFA">
      <w:pPr>
        <w:ind w:firstLine="360"/>
        <w:jc w:val="both"/>
      </w:pPr>
      <w:r w:rsidRPr="006723AA">
        <w:t>Исполнение плана реализации мероприятий муниципальн</w:t>
      </w:r>
      <w:r w:rsidR="00A75C1E">
        <w:t>ой</w:t>
      </w:r>
      <w:r w:rsidRPr="006723AA">
        <w:t xml:space="preserve"> программы «Развитие автомобильных дорог МО «Сов</w:t>
      </w:r>
      <w:r w:rsidR="00C12F7A" w:rsidRPr="006723AA">
        <w:t>етское городское поселение» к утвержденному</w:t>
      </w:r>
      <w:r w:rsidRPr="006723AA">
        <w:t xml:space="preserve"> плану </w:t>
      </w:r>
      <w:r w:rsidR="00A75C1E">
        <w:t xml:space="preserve"> на </w:t>
      </w:r>
      <w:r w:rsidRPr="006723AA">
        <w:t>20</w:t>
      </w:r>
      <w:r w:rsidR="00397D50" w:rsidRPr="006723AA">
        <w:t>2</w:t>
      </w:r>
      <w:r w:rsidR="00727B4A">
        <w:t>3</w:t>
      </w:r>
      <w:r w:rsidR="00A75C1E">
        <w:t xml:space="preserve"> год</w:t>
      </w:r>
      <w:r w:rsidRPr="006723AA">
        <w:t xml:space="preserve"> составило </w:t>
      </w:r>
      <w:r w:rsidR="00123B37">
        <w:t>93,9</w:t>
      </w:r>
      <w:r w:rsidR="00495629" w:rsidRPr="006723AA">
        <w:t xml:space="preserve"> </w:t>
      </w:r>
      <w:r w:rsidRPr="006723AA">
        <w:t xml:space="preserve">% (план </w:t>
      </w:r>
      <w:r w:rsidR="00877544">
        <w:t>17</w:t>
      </w:r>
      <w:r w:rsidR="00A75C1E">
        <w:t xml:space="preserve"> </w:t>
      </w:r>
      <w:r w:rsidR="00877544">
        <w:t>708,6</w:t>
      </w:r>
      <w:r w:rsidR="00C573E1" w:rsidRPr="006723AA">
        <w:rPr>
          <w:bCs/>
          <w:iCs/>
          <w:color w:val="000000"/>
        </w:rPr>
        <w:t xml:space="preserve"> </w:t>
      </w:r>
      <w:r w:rsidRPr="006723AA">
        <w:t>тыс.</w:t>
      </w:r>
      <w:r w:rsidR="00F8398A" w:rsidRPr="006723AA">
        <w:t xml:space="preserve"> </w:t>
      </w:r>
      <w:r w:rsidRPr="006723AA">
        <w:t>руб., исполнение</w:t>
      </w:r>
      <w:r w:rsidR="00946EF5" w:rsidRPr="006723AA">
        <w:t xml:space="preserve"> </w:t>
      </w:r>
      <w:r w:rsidR="00395A43" w:rsidRPr="006723AA">
        <w:t>–</w:t>
      </w:r>
      <w:r w:rsidR="00D53D18" w:rsidRPr="006723AA">
        <w:t xml:space="preserve"> </w:t>
      </w:r>
      <w:r w:rsidR="00123B37">
        <w:t>16</w:t>
      </w:r>
      <w:r w:rsidR="00A75C1E">
        <w:t xml:space="preserve"> </w:t>
      </w:r>
      <w:r w:rsidR="00123B37">
        <w:t>631,0</w:t>
      </w:r>
      <w:r w:rsidR="00C573E1" w:rsidRPr="006723AA">
        <w:rPr>
          <w:b/>
          <w:bCs/>
          <w:iCs/>
          <w:color w:val="000000"/>
        </w:rPr>
        <w:t xml:space="preserve"> </w:t>
      </w:r>
      <w:r w:rsidR="00F8398A" w:rsidRPr="006723AA">
        <w:t>тыс</w:t>
      </w:r>
      <w:proofErr w:type="gramStart"/>
      <w:r w:rsidR="00F8398A" w:rsidRPr="006723AA">
        <w:t>.р</w:t>
      </w:r>
      <w:proofErr w:type="gramEnd"/>
      <w:r w:rsidR="00F8398A" w:rsidRPr="006723AA">
        <w:t>уб.</w:t>
      </w:r>
      <w:r w:rsidR="00FB2B90" w:rsidRPr="006723AA">
        <w:t>).</w:t>
      </w:r>
    </w:p>
    <w:p w:rsidR="00570EFA" w:rsidRPr="006723AA" w:rsidRDefault="009A75C8" w:rsidP="004B76FC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6723AA">
        <w:rPr>
          <w:sz w:val="24"/>
          <w:szCs w:val="24"/>
        </w:rPr>
        <w:t>В рамках  муниципальной программы «Развитие автомобильных дорог МО «Советское городское поселение» были заключены следующие договоры и контракты:</w:t>
      </w:r>
    </w:p>
    <w:p w:rsidR="009A75C8" w:rsidRDefault="00570EFA" w:rsidP="00123B37">
      <w:pPr>
        <w:ind w:firstLine="360"/>
        <w:jc w:val="both"/>
      </w:pPr>
      <w:r w:rsidRPr="006723AA">
        <w:t>1.</w:t>
      </w:r>
      <w:r w:rsidR="00F8398A" w:rsidRPr="006723AA">
        <w:t>1</w:t>
      </w:r>
      <w:r w:rsidRPr="006723AA">
        <w:t xml:space="preserve">. </w:t>
      </w:r>
      <w:r w:rsidR="005158D4" w:rsidRPr="006723AA">
        <w:rPr>
          <w:color w:val="000000"/>
        </w:rPr>
        <w:t>Механизированная уборка дорог</w:t>
      </w:r>
      <w:r w:rsidR="009A75C8" w:rsidRPr="006723AA">
        <w:t xml:space="preserve"> на сумму </w:t>
      </w:r>
      <w:r w:rsidR="00123B37">
        <w:t>5</w:t>
      </w:r>
      <w:r w:rsidR="00A75C1E">
        <w:t xml:space="preserve"> </w:t>
      </w:r>
      <w:r w:rsidR="00123B37">
        <w:t>618,0</w:t>
      </w:r>
      <w:r w:rsidR="005158D4" w:rsidRPr="006723AA">
        <w:rPr>
          <w:color w:val="000000"/>
        </w:rPr>
        <w:t xml:space="preserve"> </w:t>
      </w:r>
      <w:r w:rsidR="009A75C8" w:rsidRPr="006723AA">
        <w:t>тыс. руб.;</w:t>
      </w:r>
    </w:p>
    <w:p w:rsidR="00123B37" w:rsidRDefault="00123B37" w:rsidP="00123B37">
      <w:pPr>
        <w:ind w:firstLine="360"/>
        <w:jc w:val="both"/>
      </w:pPr>
      <w:r>
        <w:t>1.2.</w:t>
      </w:r>
      <w:r w:rsidRPr="00123B37">
        <w:t xml:space="preserve"> Услуги по проведению технической экспертизы асфальтобетонного покрытия дворовой территории, расположенной по адресу: гп </w:t>
      </w:r>
      <w:proofErr w:type="gramStart"/>
      <w:r w:rsidRPr="00123B37">
        <w:t>Советский</w:t>
      </w:r>
      <w:proofErr w:type="gramEnd"/>
      <w:r w:rsidRPr="00123B37">
        <w:t>, ул. Советская, д.49</w:t>
      </w:r>
      <w:r>
        <w:t xml:space="preserve"> на сумму 34,0 тыс. руб.;</w:t>
      </w:r>
    </w:p>
    <w:p w:rsidR="00123B37" w:rsidRDefault="00123B37" w:rsidP="00123B37">
      <w:pPr>
        <w:ind w:firstLine="360"/>
        <w:jc w:val="both"/>
      </w:pPr>
      <w:r>
        <w:t xml:space="preserve">1.3. </w:t>
      </w:r>
      <w:r w:rsidRPr="00123B37">
        <w:t xml:space="preserve">Ремонт проезда к дворовой территории многоквартирного дома, расположенного по адресу: гп Советский, ул. </w:t>
      </w:r>
      <w:proofErr w:type="gramStart"/>
      <w:r w:rsidRPr="00123B37">
        <w:t>Советская</w:t>
      </w:r>
      <w:proofErr w:type="gramEnd"/>
      <w:r w:rsidRPr="00123B37">
        <w:t>, д.49</w:t>
      </w:r>
      <w:r>
        <w:t xml:space="preserve"> на сумму 6</w:t>
      </w:r>
      <w:r w:rsidR="00F93734">
        <w:t xml:space="preserve"> </w:t>
      </w:r>
      <w:r>
        <w:t>200,0 тыс. руб.;</w:t>
      </w:r>
    </w:p>
    <w:p w:rsidR="00123B37" w:rsidRDefault="00123B37" w:rsidP="00123B37">
      <w:pPr>
        <w:ind w:firstLine="360"/>
        <w:jc w:val="both"/>
      </w:pPr>
      <w:r>
        <w:t xml:space="preserve">1.4. </w:t>
      </w:r>
      <w:r w:rsidRPr="00123B37">
        <w:t xml:space="preserve">Услуги по осуществлению строительного </w:t>
      </w:r>
      <w:proofErr w:type="gramStart"/>
      <w:r w:rsidRPr="00123B37">
        <w:t>контроля за</w:t>
      </w:r>
      <w:proofErr w:type="gramEnd"/>
      <w:r w:rsidRPr="00123B37">
        <w:t xml:space="preserve"> соответствием выполненных работ проектной документации, требованиям технических регламентов, результатам инженерных изысканий на объектах расположенных на территории МО "Советское городское поселение"</w:t>
      </w:r>
      <w:r>
        <w:t xml:space="preserve"> на сумму 142,02 тыс. руб.;</w:t>
      </w:r>
    </w:p>
    <w:p w:rsidR="00123B37" w:rsidRDefault="00123B37" w:rsidP="00123B37">
      <w:pPr>
        <w:ind w:firstLine="360"/>
        <w:jc w:val="both"/>
      </w:pPr>
      <w:r>
        <w:t>1.5.</w:t>
      </w:r>
      <w:r w:rsidRPr="00123B37">
        <w:t xml:space="preserve"> Ямочный ремонт асфальтобетонного покрытия автомобильных дорог, расположенных на территории гп. </w:t>
      </w:r>
      <w:proofErr w:type="gramStart"/>
      <w:r w:rsidRPr="00123B37">
        <w:t>Советский</w:t>
      </w:r>
      <w:proofErr w:type="gramEnd"/>
      <w:r>
        <w:t xml:space="preserve"> на сумму 1</w:t>
      </w:r>
      <w:r w:rsidR="00F93734">
        <w:t xml:space="preserve"> </w:t>
      </w:r>
      <w:r>
        <w:t>600,0 тыс. руб.;</w:t>
      </w:r>
    </w:p>
    <w:p w:rsidR="00123B37" w:rsidRDefault="00123B37" w:rsidP="00123B37">
      <w:pPr>
        <w:ind w:firstLine="360"/>
        <w:jc w:val="both"/>
      </w:pPr>
      <w:r>
        <w:t xml:space="preserve">1.6. </w:t>
      </w:r>
      <w:r w:rsidRPr="00123B37">
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</w:r>
      <w:r>
        <w:t xml:space="preserve"> на сумму 83,5 тыс. руб.</w:t>
      </w:r>
      <w:r w:rsidR="0019722A">
        <w:t xml:space="preserve">, по данному мероприятию экономия по результатам аукциона составила </w:t>
      </w:r>
      <w:r w:rsidR="00FB099A">
        <w:t>495,6 тыс. руб. (план 579,1 тыс. руб.)</w:t>
      </w:r>
      <w:r>
        <w:t>;</w:t>
      </w:r>
    </w:p>
    <w:p w:rsidR="00123B37" w:rsidRDefault="00123B37" w:rsidP="00123B37">
      <w:pPr>
        <w:ind w:firstLine="360"/>
        <w:jc w:val="both"/>
      </w:pPr>
      <w:r>
        <w:t xml:space="preserve">1.7. </w:t>
      </w:r>
      <w:r w:rsidRPr="00123B37">
        <w:t xml:space="preserve">Ремонт дороги по адресу: гп. </w:t>
      </w:r>
      <w:proofErr w:type="gramStart"/>
      <w:r w:rsidRPr="00123B37">
        <w:t>Советский</w:t>
      </w:r>
      <w:proofErr w:type="gramEnd"/>
      <w:r w:rsidRPr="00123B37">
        <w:t xml:space="preserve">, ул. </w:t>
      </w:r>
      <w:proofErr w:type="spellStart"/>
      <w:r w:rsidRPr="00123B37">
        <w:t>Исполокомовская</w:t>
      </w:r>
      <w:proofErr w:type="spellEnd"/>
      <w:r>
        <w:t xml:space="preserve"> на сумму 1</w:t>
      </w:r>
      <w:r w:rsidR="00F93734">
        <w:t xml:space="preserve"> </w:t>
      </w:r>
      <w:r>
        <w:t>128,5 тыс. руб.</w:t>
      </w:r>
      <w:r w:rsidR="006664C9">
        <w:t>;</w:t>
      </w:r>
    </w:p>
    <w:p w:rsidR="00217A23" w:rsidRDefault="00217A23" w:rsidP="00217A23">
      <w:pPr>
        <w:ind w:firstLine="360"/>
        <w:jc w:val="both"/>
      </w:pPr>
      <w:r>
        <w:t>1.8. Отсыпка участка дороги в пос. Соколинское, ул. Весенний переулок на сумму 611,5 тыс. руб.</w:t>
      </w:r>
    </w:p>
    <w:p w:rsidR="00123B37" w:rsidRDefault="006664C9" w:rsidP="006664C9">
      <w:pPr>
        <w:ind w:firstLine="360"/>
        <w:jc w:val="both"/>
      </w:pPr>
      <w:r>
        <w:t>1.</w:t>
      </w:r>
      <w:r w:rsidR="00217A23">
        <w:t>9</w:t>
      </w:r>
      <w:r>
        <w:t xml:space="preserve">. </w:t>
      </w:r>
      <w:r w:rsidRPr="006664C9">
        <w:t xml:space="preserve">Разработка проекта на реконструкцию моста через реку Гороховка в пос. </w:t>
      </w:r>
      <w:proofErr w:type="gramStart"/>
      <w:r w:rsidRPr="006664C9">
        <w:t>Черничное</w:t>
      </w:r>
      <w:proofErr w:type="gramEnd"/>
      <w:r w:rsidRPr="006664C9">
        <w:t xml:space="preserve"> на ул. Васильевская Выборгского района Ленинградской области</w:t>
      </w:r>
      <w:r>
        <w:t xml:space="preserve"> на сумму 1</w:t>
      </w:r>
      <w:r w:rsidR="00F93734">
        <w:t xml:space="preserve"> </w:t>
      </w:r>
      <w:r>
        <w:t>213,3 тыс. руб.</w:t>
      </w:r>
      <w:r w:rsidR="00123B37">
        <w:t xml:space="preserve"> </w:t>
      </w:r>
    </w:p>
    <w:p w:rsidR="009A75C8" w:rsidRPr="005158D4" w:rsidRDefault="006664C9" w:rsidP="004B76FC">
      <w:pPr>
        <w:ind w:left="284" w:hanging="284"/>
        <w:jc w:val="both"/>
      </w:pPr>
      <w:r>
        <w:t>2</w:t>
      </w:r>
      <w:r w:rsidR="006A4BD2">
        <w:t xml:space="preserve">. </w:t>
      </w:r>
      <w:r w:rsidR="009A75C8" w:rsidRPr="005158D4">
        <w:t>При выполнении мероприятий программы, для  достижения запланированных результатов, необходимыми факторами являлись:</w:t>
      </w:r>
    </w:p>
    <w:p w:rsidR="009A75C8" w:rsidRPr="005158D4" w:rsidRDefault="009A75C8" w:rsidP="00570EFA">
      <w:pPr>
        <w:ind w:firstLine="360"/>
        <w:jc w:val="both"/>
      </w:pPr>
      <w:r w:rsidRPr="005158D4">
        <w:t>- своевременное финансовое обеспечение,</w:t>
      </w:r>
    </w:p>
    <w:p w:rsidR="009A75C8" w:rsidRPr="005158D4" w:rsidRDefault="009A75C8" w:rsidP="00570EFA">
      <w:pPr>
        <w:ind w:firstLine="360"/>
        <w:jc w:val="both"/>
      </w:pPr>
      <w:r w:rsidRPr="005158D4">
        <w:t>- эффективное взаимодействие участников реализации программы,</w:t>
      </w:r>
    </w:p>
    <w:p w:rsidR="009A75C8" w:rsidRPr="005158D4" w:rsidRDefault="009A75C8" w:rsidP="00570EFA">
      <w:pPr>
        <w:ind w:firstLine="360"/>
        <w:jc w:val="both"/>
      </w:pPr>
      <w:r w:rsidRPr="005158D4">
        <w:t>- открытость и гласность выполнения мероприятий программы</w:t>
      </w:r>
    </w:p>
    <w:p w:rsidR="009A75C8" w:rsidRPr="004B76FC" w:rsidRDefault="009A75C8" w:rsidP="004B76FC">
      <w:pPr>
        <w:pStyle w:val="a5"/>
        <w:numPr>
          <w:ilvl w:val="0"/>
          <w:numId w:val="12"/>
        </w:numPr>
        <w:tabs>
          <w:tab w:val="left" w:pos="284"/>
        </w:tabs>
        <w:jc w:val="both"/>
        <w:rPr>
          <w:sz w:val="24"/>
          <w:szCs w:val="24"/>
        </w:rPr>
      </w:pPr>
      <w:r w:rsidRPr="004B76FC">
        <w:rPr>
          <w:sz w:val="24"/>
          <w:szCs w:val="24"/>
        </w:rPr>
        <w:t>Внесены изменения в муниципальную программу «Развитие автомобильных дорог МО «Советское городс</w:t>
      </w:r>
      <w:r w:rsidR="000F77CE">
        <w:rPr>
          <w:sz w:val="24"/>
          <w:szCs w:val="24"/>
        </w:rPr>
        <w:t xml:space="preserve">кое поселение»: </w:t>
      </w:r>
      <w:proofErr w:type="gramStart"/>
      <w:r w:rsidR="000F77CE">
        <w:rPr>
          <w:sz w:val="24"/>
          <w:szCs w:val="24"/>
        </w:rPr>
        <w:t xml:space="preserve">Постановление </w:t>
      </w:r>
      <w:r w:rsidR="00F93CE8">
        <w:rPr>
          <w:sz w:val="24"/>
          <w:szCs w:val="24"/>
        </w:rPr>
        <w:t>№</w:t>
      </w:r>
      <w:r w:rsidR="00727B4A">
        <w:rPr>
          <w:sz w:val="24"/>
          <w:szCs w:val="24"/>
        </w:rPr>
        <w:t>13</w:t>
      </w:r>
      <w:r w:rsidR="00F93CE8">
        <w:rPr>
          <w:sz w:val="24"/>
          <w:szCs w:val="24"/>
        </w:rPr>
        <w:t xml:space="preserve"> от </w:t>
      </w:r>
      <w:r w:rsidR="00727B4A">
        <w:rPr>
          <w:sz w:val="24"/>
          <w:szCs w:val="24"/>
        </w:rPr>
        <w:t>18.01</w:t>
      </w:r>
      <w:r w:rsidR="00F93CE8">
        <w:rPr>
          <w:sz w:val="24"/>
          <w:szCs w:val="24"/>
        </w:rPr>
        <w:t>.202</w:t>
      </w:r>
      <w:r w:rsidR="00727B4A">
        <w:rPr>
          <w:sz w:val="24"/>
          <w:szCs w:val="24"/>
        </w:rPr>
        <w:t>3</w:t>
      </w:r>
      <w:r w:rsidR="00F93CE8">
        <w:rPr>
          <w:sz w:val="24"/>
          <w:szCs w:val="24"/>
        </w:rPr>
        <w:t>г., №</w:t>
      </w:r>
      <w:r w:rsidR="00727B4A">
        <w:rPr>
          <w:sz w:val="24"/>
          <w:szCs w:val="24"/>
        </w:rPr>
        <w:t>39</w:t>
      </w:r>
      <w:r w:rsidR="00F93CE8">
        <w:rPr>
          <w:sz w:val="24"/>
          <w:szCs w:val="24"/>
        </w:rPr>
        <w:t xml:space="preserve"> от 03.1</w:t>
      </w:r>
      <w:r w:rsidR="00727B4A">
        <w:rPr>
          <w:sz w:val="24"/>
          <w:szCs w:val="24"/>
        </w:rPr>
        <w:t>3</w:t>
      </w:r>
      <w:r w:rsidR="00F93CE8">
        <w:rPr>
          <w:sz w:val="24"/>
          <w:szCs w:val="24"/>
        </w:rPr>
        <w:t>.202</w:t>
      </w:r>
      <w:r w:rsidR="00727B4A">
        <w:rPr>
          <w:sz w:val="24"/>
          <w:szCs w:val="24"/>
        </w:rPr>
        <w:t>3</w:t>
      </w:r>
      <w:r w:rsidR="00F93CE8">
        <w:rPr>
          <w:sz w:val="24"/>
          <w:szCs w:val="24"/>
        </w:rPr>
        <w:t>г.,</w:t>
      </w:r>
      <w:r w:rsidR="00727B4A">
        <w:rPr>
          <w:sz w:val="24"/>
          <w:szCs w:val="24"/>
        </w:rPr>
        <w:t xml:space="preserve"> №60 от 22.03.2023г.,</w:t>
      </w:r>
      <w:r w:rsidR="00F93CE8">
        <w:rPr>
          <w:sz w:val="24"/>
          <w:szCs w:val="24"/>
        </w:rPr>
        <w:t xml:space="preserve"> №</w:t>
      </w:r>
      <w:r w:rsidR="00727B4A">
        <w:rPr>
          <w:sz w:val="24"/>
          <w:szCs w:val="24"/>
        </w:rPr>
        <w:t>101</w:t>
      </w:r>
      <w:r w:rsidR="00F93CE8">
        <w:rPr>
          <w:sz w:val="24"/>
          <w:szCs w:val="24"/>
        </w:rPr>
        <w:t xml:space="preserve"> от </w:t>
      </w:r>
      <w:r w:rsidR="00727B4A">
        <w:rPr>
          <w:sz w:val="24"/>
          <w:szCs w:val="24"/>
        </w:rPr>
        <w:t>04.05.2023</w:t>
      </w:r>
      <w:r w:rsidR="00F93CE8">
        <w:rPr>
          <w:sz w:val="24"/>
          <w:szCs w:val="24"/>
        </w:rPr>
        <w:t>г.</w:t>
      </w:r>
      <w:r w:rsidR="00727B4A">
        <w:rPr>
          <w:sz w:val="24"/>
          <w:szCs w:val="24"/>
        </w:rPr>
        <w:t xml:space="preserve">, №175 от 06.07.2023г., №195 от 19.07.2023г., №196 от 25.07.2023г., №214 от 24.08.2023г., №288 от 15.11.2023г., №294 от 17.11.2023г., №359 от 29.12.2023г., </w:t>
      </w:r>
      <w:r w:rsidR="00F41B6F">
        <w:rPr>
          <w:sz w:val="24"/>
          <w:szCs w:val="24"/>
        </w:rPr>
        <w:t xml:space="preserve">№7 от 12.01.2024г. </w:t>
      </w:r>
      <w:r w:rsidRPr="004B76FC">
        <w:rPr>
          <w:sz w:val="24"/>
          <w:szCs w:val="24"/>
        </w:rPr>
        <w:t xml:space="preserve">с целью корректировки программы и в связи с </w:t>
      </w:r>
      <w:proofErr w:type="spellStart"/>
      <w:r w:rsidRPr="004B76FC">
        <w:rPr>
          <w:sz w:val="24"/>
          <w:szCs w:val="24"/>
        </w:rPr>
        <w:t>софинансированием</w:t>
      </w:r>
      <w:proofErr w:type="spellEnd"/>
      <w:r w:rsidRPr="004B76FC">
        <w:rPr>
          <w:sz w:val="24"/>
          <w:szCs w:val="24"/>
        </w:rPr>
        <w:t xml:space="preserve"> из областного</w:t>
      </w:r>
      <w:proofErr w:type="gramEnd"/>
      <w:r w:rsidRPr="004B76FC">
        <w:rPr>
          <w:sz w:val="24"/>
          <w:szCs w:val="24"/>
        </w:rPr>
        <w:t xml:space="preserve"> бюджета Ленинградской области на осуществление дорожной деятельности в отношении автомобильных дорог общего пользования местного значения. </w:t>
      </w:r>
    </w:p>
    <w:p w:rsidR="00A56B7D" w:rsidRPr="002C731E" w:rsidRDefault="00A56B7D" w:rsidP="00A56B7D">
      <w:pPr>
        <w:ind w:left="360"/>
        <w:jc w:val="both"/>
        <w:rPr>
          <w:b/>
        </w:rPr>
      </w:pPr>
      <w:r w:rsidRPr="002C731E">
        <w:rPr>
          <w:b/>
        </w:rPr>
        <w:t>Оценка эффективности реализации муниципальной программы проводится на основе:</w:t>
      </w:r>
    </w:p>
    <w:p w:rsidR="00A56B7D" w:rsidRPr="002C731E" w:rsidRDefault="00A56B7D" w:rsidP="00A56B7D">
      <w:pPr>
        <w:ind w:left="360"/>
        <w:jc w:val="both"/>
      </w:pPr>
      <w:bookmarkStart w:id="0" w:name="sub_1101"/>
      <w:r w:rsidRPr="002C731E">
        <w:t xml:space="preserve">1) </w:t>
      </w:r>
      <w:bookmarkEnd w:id="0"/>
      <w:r w:rsidRPr="002C731E">
        <w:t>Оценка степени достижения целей: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1609725" cy="3143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>,</w:t>
      </w:r>
    </w:p>
    <w:p w:rsidR="00A56B7D" w:rsidRPr="002C731E" w:rsidRDefault="00A56B7D" w:rsidP="00A56B7D">
      <w:pPr>
        <w:ind w:left="360"/>
        <w:jc w:val="both"/>
      </w:pPr>
      <w:r w:rsidRPr="002C731E">
        <w:t>где: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276225" cy="314325"/>
            <wp:effectExtent l="19050" t="0" r="9525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степень достижения целей (решения задач);</w:t>
      </w:r>
    </w:p>
    <w:p w:rsidR="005167AA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276225" cy="314325"/>
            <wp:effectExtent l="1905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фактическое значение индикатора (показателя) </w:t>
      </w:r>
      <w:r w:rsidR="00F93CE8">
        <w:t xml:space="preserve">муниципальной </w:t>
      </w:r>
      <w:r w:rsidRPr="002C731E">
        <w:t>программы;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lastRenderedPageBreak/>
        <w:drawing>
          <wp:inline distT="0" distB="0" distL="0" distR="0">
            <wp:extent cx="257175" cy="314325"/>
            <wp:effectExtent l="19050" t="0" r="9525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A56B7D" w:rsidRPr="002C731E" w:rsidRDefault="00A56B7D" w:rsidP="00A56B7D">
      <w:pPr>
        <w:ind w:left="360"/>
        <w:jc w:val="both"/>
      </w:pPr>
    </w:p>
    <w:p w:rsidR="00A56B7D" w:rsidRPr="00F93734" w:rsidRDefault="002C731E" w:rsidP="00A56B7D">
      <w:pPr>
        <w:ind w:left="360"/>
        <w:jc w:val="both"/>
        <w:rPr>
          <w:color w:val="000000" w:themeColor="text1"/>
        </w:rPr>
      </w:pPr>
      <w:r w:rsidRPr="00F93734">
        <w:rPr>
          <w:color w:val="000000" w:themeColor="text1"/>
        </w:rPr>
        <w:t>1</w:t>
      </w:r>
      <w:r w:rsidR="00A56B7D" w:rsidRPr="00F93734">
        <w:rPr>
          <w:color w:val="000000" w:themeColor="text1"/>
        </w:rPr>
        <w:t>. По целевому показателю - прирост протяженности автомобильных дорог местного значения, соответствующих нормативным требованиям к транспортно-эксплуатационным показателям:</w:t>
      </w:r>
    </w:p>
    <w:p w:rsidR="00A56B7D" w:rsidRDefault="00F93CE8" w:rsidP="00F93CE8">
      <w:pPr>
        <w:tabs>
          <w:tab w:val="num" w:pos="1637"/>
        </w:tabs>
        <w:ind w:left="360"/>
        <w:jc w:val="both"/>
        <w:rPr>
          <w:color w:val="000000" w:themeColor="text1"/>
        </w:rPr>
      </w:pPr>
      <w:proofErr w:type="spellStart"/>
      <w:r w:rsidRPr="00F93734">
        <w:rPr>
          <w:color w:val="000000" w:themeColor="text1"/>
        </w:rPr>
        <w:t>Сд</w:t>
      </w:r>
      <w:r w:rsidR="00A56B7D" w:rsidRPr="00F93734">
        <w:rPr>
          <w:color w:val="000000" w:themeColor="text1"/>
        </w:rPr>
        <w:t>=</w:t>
      </w:r>
      <w:proofErr w:type="spellEnd"/>
      <w:r w:rsidR="00A56B7D" w:rsidRPr="00F93734">
        <w:rPr>
          <w:color w:val="000000" w:themeColor="text1"/>
        </w:rPr>
        <w:t xml:space="preserve">   </w:t>
      </w:r>
      <w:r w:rsidR="000835F2" w:rsidRPr="00F93734">
        <w:rPr>
          <w:color w:val="000000" w:themeColor="text1"/>
        </w:rPr>
        <w:t>1</w:t>
      </w:r>
      <w:r w:rsidR="00F93734">
        <w:rPr>
          <w:color w:val="000000" w:themeColor="text1"/>
        </w:rPr>
        <w:t>00</w:t>
      </w:r>
      <w:r w:rsidR="00A56B7D" w:rsidRPr="00F93734">
        <w:rPr>
          <w:color w:val="000000" w:themeColor="text1"/>
        </w:rPr>
        <w:t xml:space="preserve"> /</w:t>
      </w:r>
      <w:r w:rsidR="000835F2" w:rsidRPr="00F93734">
        <w:rPr>
          <w:color w:val="000000" w:themeColor="text1"/>
        </w:rPr>
        <w:t>1</w:t>
      </w:r>
      <w:r w:rsidR="00F93734">
        <w:rPr>
          <w:color w:val="000000" w:themeColor="text1"/>
        </w:rPr>
        <w:t>00</w:t>
      </w:r>
      <w:r w:rsidR="00A56B7D" w:rsidRPr="00F93734">
        <w:rPr>
          <w:color w:val="000000" w:themeColor="text1"/>
        </w:rPr>
        <w:t xml:space="preserve">*100% = </w:t>
      </w:r>
      <w:r w:rsidR="002C731E" w:rsidRPr="00F93734">
        <w:rPr>
          <w:color w:val="000000" w:themeColor="text1"/>
        </w:rPr>
        <w:t>100</w:t>
      </w:r>
      <w:r w:rsidR="00A56B7D" w:rsidRPr="00F93734">
        <w:rPr>
          <w:color w:val="000000" w:themeColor="text1"/>
        </w:rPr>
        <w:t xml:space="preserve"> %</w:t>
      </w:r>
    </w:p>
    <w:p w:rsidR="00F93734" w:rsidRPr="00F93734" w:rsidRDefault="00F93734" w:rsidP="00F93CE8">
      <w:pPr>
        <w:tabs>
          <w:tab w:val="num" w:pos="1637"/>
        </w:tabs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Запланированные для ремонта дороги отремонтированы в полном объеме.</w:t>
      </w:r>
    </w:p>
    <w:p w:rsidR="00A56B7D" w:rsidRPr="00F93734" w:rsidRDefault="00A56B7D" w:rsidP="00A56B7D">
      <w:pPr>
        <w:tabs>
          <w:tab w:val="num" w:pos="1637"/>
        </w:tabs>
        <w:jc w:val="both"/>
        <w:rPr>
          <w:color w:val="000000" w:themeColor="text1"/>
        </w:rPr>
      </w:pPr>
    </w:p>
    <w:p w:rsidR="00A56B7D" w:rsidRPr="000835F2" w:rsidRDefault="002C731E" w:rsidP="00A56B7D">
      <w:pPr>
        <w:ind w:left="360"/>
        <w:jc w:val="both"/>
      </w:pPr>
      <w:r w:rsidRPr="000835F2">
        <w:t>2</w:t>
      </w:r>
      <w:r w:rsidR="00A56B7D" w:rsidRPr="000835F2">
        <w:t>.По целевому показателю - общая площадь дорог, подлежащих механизированной уборке 312,2 (тыс. м</w:t>
      </w:r>
      <w:proofErr w:type="gramStart"/>
      <w:r w:rsidR="00A56B7D" w:rsidRPr="000835F2">
        <w:t>2</w:t>
      </w:r>
      <w:proofErr w:type="gramEnd"/>
      <w:r w:rsidR="00A56B7D" w:rsidRPr="000835F2">
        <w:t>)</w:t>
      </w:r>
    </w:p>
    <w:p w:rsidR="00A56B7D" w:rsidRPr="000835F2" w:rsidRDefault="00F93CE8" w:rsidP="00F93CE8">
      <w:pPr>
        <w:jc w:val="both"/>
      </w:pPr>
      <w:r w:rsidRPr="000835F2">
        <w:t xml:space="preserve">      </w:t>
      </w:r>
      <w:proofErr w:type="spellStart"/>
      <w:r w:rsidRPr="000835F2">
        <w:t>Сд</w:t>
      </w:r>
      <w:r w:rsidR="00A56B7D" w:rsidRPr="000835F2">
        <w:t>=</w:t>
      </w:r>
      <w:proofErr w:type="spellEnd"/>
      <w:r w:rsidR="00A56B7D" w:rsidRPr="000835F2">
        <w:t xml:space="preserve"> 312,2/312,2*100%=100%</w:t>
      </w:r>
    </w:p>
    <w:p w:rsidR="00A56B7D" w:rsidRPr="000835F2" w:rsidRDefault="00A56B7D" w:rsidP="00A56B7D">
      <w:pPr>
        <w:ind w:left="360"/>
        <w:jc w:val="both"/>
      </w:pPr>
      <w:r w:rsidRPr="000835F2">
        <w:t>Все работы проводились в полном объеме.</w:t>
      </w:r>
    </w:p>
    <w:p w:rsidR="00A56B7D" w:rsidRPr="00AE3D17" w:rsidRDefault="00A56B7D" w:rsidP="00E958EE">
      <w:pPr>
        <w:jc w:val="both"/>
        <w:rPr>
          <w:color w:val="FF0000"/>
        </w:rPr>
      </w:pPr>
      <w:r w:rsidRPr="00AE3D17">
        <w:rPr>
          <w:color w:val="FF0000"/>
        </w:rPr>
        <w:t xml:space="preserve">          </w:t>
      </w:r>
    </w:p>
    <w:p w:rsidR="00A56B7D" w:rsidRPr="00FB099A" w:rsidRDefault="002C731E" w:rsidP="00A56B7D">
      <w:pPr>
        <w:ind w:left="360"/>
        <w:jc w:val="both"/>
        <w:rPr>
          <w:rFonts w:eastAsiaTheme="minorHAnsi"/>
        </w:rPr>
      </w:pPr>
      <w:r w:rsidRPr="00FB099A">
        <w:rPr>
          <w:rFonts w:eastAsiaTheme="minorHAnsi"/>
        </w:rPr>
        <w:t>3</w:t>
      </w:r>
      <w:r w:rsidR="00A56B7D" w:rsidRPr="00FB099A">
        <w:rPr>
          <w:rFonts w:eastAsiaTheme="minorHAnsi"/>
        </w:rPr>
        <w:t xml:space="preserve">. Целевой показатель - паспортизация автомобильных дорог общего пользования местного значения  </w:t>
      </w:r>
      <w:r w:rsidR="00F93CE8" w:rsidRPr="00FB099A">
        <w:rPr>
          <w:rFonts w:eastAsiaTheme="minorHAnsi"/>
        </w:rPr>
        <w:t>в 202</w:t>
      </w:r>
      <w:r w:rsidR="000835F2" w:rsidRPr="00FB099A">
        <w:rPr>
          <w:rFonts w:eastAsiaTheme="minorHAnsi"/>
        </w:rPr>
        <w:t>3</w:t>
      </w:r>
      <w:r w:rsidR="00F93CE8" w:rsidRPr="00FB099A">
        <w:rPr>
          <w:rFonts w:eastAsiaTheme="minorHAnsi"/>
        </w:rPr>
        <w:t xml:space="preserve"> году</w:t>
      </w:r>
      <w:r w:rsidR="00A56B7D" w:rsidRPr="00FB099A">
        <w:rPr>
          <w:rFonts w:eastAsiaTheme="minorHAnsi"/>
        </w:rPr>
        <w:t>.</w:t>
      </w:r>
    </w:p>
    <w:p w:rsidR="00A56B7D" w:rsidRPr="00FB099A" w:rsidRDefault="00F93CE8" w:rsidP="00F93CE8">
      <w:pPr>
        <w:jc w:val="both"/>
      </w:pPr>
      <w:r w:rsidRPr="00FB099A">
        <w:t xml:space="preserve">      </w:t>
      </w:r>
      <w:proofErr w:type="spellStart"/>
      <w:r w:rsidRPr="00FB099A">
        <w:t>Сд</w:t>
      </w:r>
      <w:r w:rsidR="00A56B7D" w:rsidRPr="00FB099A">
        <w:t>=</w:t>
      </w:r>
      <w:proofErr w:type="spellEnd"/>
      <w:r w:rsidR="00A56B7D" w:rsidRPr="00FB099A">
        <w:t xml:space="preserve"> </w:t>
      </w:r>
      <w:r w:rsidR="0019722A" w:rsidRPr="00FB099A">
        <w:t>100</w:t>
      </w:r>
      <w:r w:rsidRPr="00FB099A">
        <w:t>/</w:t>
      </w:r>
      <w:r w:rsidR="0019722A" w:rsidRPr="00FB099A">
        <w:t>11</w:t>
      </w:r>
      <w:r w:rsidRPr="00FB099A">
        <w:t>0</w:t>
      </w:r>
      <w:r w:rsidR="00A56B7D" w:rsidRPr="00FB099A">
        <w:t>*100% =</w:t>
      </w:r>
      <w:r w:rsidR="0019722A" w:rsidRPr="00FB099A">
        <w:t>10</w:t>
      </w:r>
      <w:r w:rsidRPr="00FB099A">
        <w:t>0</w:t>
      </w:r>
      <w:r w:rsidR="00A56B7D" w:rsidRPr="00FB099A">
        <w:t>%</w:t>
      </w:r>
    </w:p>
    <w:p w:rsidR="00A56B7D" w:rsidRPr="00FB099A" w:rsidRDefault="00A56B7D" w:rsidP="00A56B7D">
      <w:pPr>
        <w:ind w:left="360"/>
        <w:jc w:val="both"/>
        <w:rPr>
          <w:rFonts w:eastAsiaTheme="minorHAnsi"/>
        </w:rPr>
      </w:pPr>
    </w:p>
    <w:p w:rsidR="00A56B7D" w:rsidRPr="002C731E" w:rsidRDefault="00A56B7D" w:rsidP="00A56B7D">
      <w:pPr>
        <w:ind w:left="360"/>
        <w:jc w:val="both"/>
      </w:pPr>
      <w:r w:rsidRPr="002C731E">
        <w:t>Уровень эффективности по оценке степени достижения целей к годовому перечню мероприятий:</w:t>
      </w:r>
    </w:p>
    <w:p w:rsidR="00A56B7D" w:rsidRPr="00F93734" w:rsidRDefault="00A56B7D" w:rsidP="00A56B7D">
      <w:pPr>
        <w:ind w:left="360"/>
        <w:jc w:val="both"/>
        <w:rPr>
          <w:color w:val="000000" w:themeColor="text1"/>
        </w:rPr>
      </w:pPr>
      <w:r w:rsidRPr="00F93734">
        <w:rPr>
          <w:color w:val="000000" w:themeColor="text1"/>
        </w:rPr>
        <w:t>(</w:t>
      </w:r>
      <w:r w:rsidR="002C731E" w:rsidRPr="00F93734">
        <w:rPr>
          <w:color w:val="000000" w:themeColor="text1"/>
        </w:rPr>
        <w:t>100+100+</w:t>
      </w:r>
      <w:r w:rsidR="0019722A">
        <w:rPr>
          <w:color w:val="000000" w:themeColor="text1"/>
        </w:rPr>
        <w:t>10</w:t>
      </w:r>
      <w:r w:rsidR="00F93CE8" w:rsidRPr="00F93734">
        <w:rPr>
          <w:color w:val="000000" w:themeColor="text1"/>
        </w:rPr>
        <w:t>0</w:t>
      </w:r>
      <w:r w:rsidRPr="00F93734">
        <w:rPr>
          <w:color w:val="000000" w:themeColor="text1"/>
        </w:rPr>
        <w:t>)</w:t>
      </w:r>
      <w:r w:rsidR="002C731E" w:rsidRPr="00F93734">
        <w:rPr>
          <w:color w:val="000000" w:themeColor="text1"/>
        </w:rPr>
        <w:t>3</w:t>
      </w:r>
      <w:r w:rsidRPr="00F93734">
        <w:rPr>
          <w:color w:val="000000" w:themeColor="text1"/>
        </w:rPr>
        <w:t>*100%=</w:t>
      </w:r>
      <w:r w:rsidR="0019722A">
        <w:rPr>
          <w:color w:val="000000" w:themeColor="text1"/>
        </w:rPr>
        <w:t>100</w:t>
      </w:r>
      <w:r w:rsidRPr="00F93734">
        <w:rPr>
          <w:color w:val="000000" w:themeColor="text1"/>
        </w:rPr>
        <w:t>%</w:t>
      </w:r>
    </w:p>
    <w:p w:rsidR="00A56B7D" w:rsidRPr="002C731E" w:rsidRDefault="00A56B7D" w:rsidP="00A56B7D">
      <w:pPr>
        <w:ind w:left="360"/>
        <w:jc w:val="both"/>
      </w:pPr>
    </w:p>
    <w:p w:rsidR="00A56B7D" w:rsidRPr="002C731E" w:rsidRDefault="002C731E" w:rsidP="00A56B7D">
      <w:pPr>
        <w:ind w:left="360"/>
        <w:jc w:val="both"/>
      </w:pPr>
      <w:bookmarkStart w:id="1" w:name="sub_1102"/>
      <w:r>
        <w:t xml:space="preserve">2. </w:t>
      </w:r>
      <w:r w:rsidR="00A56B7D" w:rsidRPr="002C731E">
        <w:t xml:space="preserve"> оценка эффективности использования  средств местного бюджета по формуле:</w:t>
      </w:r>
    </w:p>
    <w:bookmarkEnd w:id="1"/>
    <w:p w:rsidR="00A56B7D" w:rsidRPr="002C731E" w:rsidRDefault="00A56B7D" w:rsidP="00A56B7D">
      <w:pPr>
        <w:jc w:val="both"/>
      </w:pPr>
      <w:r w:rsidRPr="002C731E">
        <w:t xml:space="preserve">      </w:t>
      </w:r>
      <w:r w:rsidRPr="002C731E">
        <w:rPr>
          <w:noProof/>
        </w:rPr>
        <w:drawing>
          <wp:inline distT="0" distB="0" distL="0" distR="0">
            <wp:extent cx="17526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>,</w:t>
      </w:r>
    </w:p>
    <w:p w:rsidR="00A56B7D" w:rsidRPr="002C731E" w:rsidRDefault="00A56B7D" w:rsidP="00A56B7D">
      <w:pPr>
        <w:ind w:left="360"/>
        <w:jc w:val="both"/>
      </w:pPr>
      <w:r w:rsidRPr="002C731E">
        <w:t>где: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31432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уровень финансирования реализации основных мероприятий муниципальной программы (подпрограммы);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333375" cy="314325"/>
            <wp:effectExtent l="19050" t="0" r="9525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A56B7D" w:rsidRPr="002C731E" w:rsidRDefault="00A56B7D" w:rsidP="00A56B7D">
      <w:pPr>
        <w:ind w:left="360"/>
        <w:jc w:val="both"/>
      </w:pPr>
      <w:r w:rsidRPr="002C731E">
        <w:rPr>
          <w:noProof/>
        </w:rPr>
        <w:drawing>
          <wp:inline distT="0" distB="0" distL="0" distR="0">
            <wp:extent cx="304800" cy="31432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1E">
        <w:t xml:space="preserve"> - плановый объем финансовых ресурсов на реализацию муниципальной программы (подпрограммы) на соответствующий отчетный период;</w:t>
      </w:r>
    </w:p>
    <w:p w:rsidR="00A56B7D" w:rsidRPr="002C731E" w:rsidRDefault="00A56B7D" w:rsidP="00A56B7D">
      <w:pPr>
        <w:ind w:left="360"/>
        <w:jc w:val="both"/>
        <w:rPr>
          <w:noProof/>
        </w:rPr>
      </w:pPr>
    </w:p>
    <w:p w:rsidR="00A56B7D" w:rsidRPr="002C731E" w:rsidRDefault="00A56B7D" w:rsidP="00A56B7D">
      <w:pPr>
        <w:ind w:left="360"/>
        <w:jc w:val="both"/>
        <w:rPr>
          <w:noProof/>
        </w:rPr>
      </w:pPr>
      <w:r w:rsidRPr="002C731E">
        <w:rPr>
          <w:noProof/>
        </w:rPr>
        <w:t xml:space="preserve">Уф = </w:t>
      </w:r>
      <w:r w:rsidR="00F261FA">
        <w:t>16</w:t>
      </w:r>
      <w:r w:rsidR="00F93734">
        <w:t xml:space="preserve"> </w:t>
      </w:r>
      <w:r w:rsidR="00F261FA">
        <w:t>631,0</w:t>
      </w:r>
      <w:r w:rsidR="00F93CE8" w:rsidRPr="006723AA">
        <w:rPr>
          <w:b/>
          <w:bCs/>
          <w:iCs/>
          <w:color w:val="000000"/>
        </w:rPr>
        <w:t xml:space="preserve"> </w:t>
      </w:r>
      <w:r w:rsidRPr="002C731E">
        <w:rPr>
          <w:noProof/>
        </w:rPr>
        <w:t>/</w:t>
      </w:r>
      <w:r w:rsidR="00F261FA">
        <w:t>17</w:t>
      </w:r>
      <w:r w:rsidR="00F93734">
        <w:t xml:space="preserve"> </w:t>
      </w:r>
      <w:r w:rsidR="00F261FA">
        <w:t>708,6</w:t>
      </w:r>
      <w:r w:rsidR="000D428F" w:rsidRPr="006723AA">
        <w:rPr>
          <w:bCs/>
          <w:iCs/>
          <w:color w:val="000000"/>
        </w:rPr>
        <w:t xml:space="preserve"> </w:t>
      </w:r>
      <w:r w:rsidRPr="002C731E">
        <w:rPr>
          <w:noProof/>
        </w:rPr>
        <w:t>*100%=</w:t>
      </w:r>
      <w:r w:rsidR="00F261FA">
        <w:rPr>
          <w:noProof/>
        </w:rPr>
        <w:t>93,9</w:t>
      </w:r>
      <w:r w:rsidRPr="002C731E">
        <w:rPr>
          <w:noProof/>
        </w:rPr>
        <w:t xml:space="preserve"> % к </w:t>
      </w:r>
      <w:r w:rsidR="00554DAC" w:rsidRPr="002C731E">
        <w:rPr>
          <w:noProof/>
        </w:rPr>
        <w:t>текущему</w:t>
      </w:r>
      <w:r w:rsidRPr="002C731E">
        <w:rPr>
          <w:noProof/>
        </w:rPr>
        <w:t xml:space="preserve"> плану</w:t>
      </w:r>
    </w:p>
    <w:p w:rsidR="00A56B7D" w:rsidRPr="002C731E" w:rsidRDefault="00A56B7D" w:rsidP="00A56B7D">
      <w:pPr>
        <w:ind w:left="360"/>
        <w:jc w:val="both"/>
        <w:rPr>
          <w:noProof/>
        </w:rPr>
      </w:pPr>
    </w:p>
    <w:p w:rsidR="00FB2B90" w:rsidRPr="002C731E" w:rsidRDefault="00FB2B90" w:rsidP="00FB2B90">
      <w:pPr>
        <w:jc w:val="both"/>
      </w:pPr>
      <w:r w:rsidRPr="002C731E">
        <w:t xml:space="preserve">Вывод: </w:t>
      </w:r>
    </w:p>
    <w:p w:rsidR="00F93734" w:rsidRDefault="00FB2B90" w:rsidP="00F93734">
      <w:pPr>
        <w:ind w:firstLine="708"/>
        <w:jc w:val="both"/>
      </w:pPr>
      <w:r w:rsidRPr="002C731E">
        <w:t xml:space="preserve">- По оценке степени достижения целей уровень эффективности оценки программы признается  </w:t>
      </w:r>
      <w:r w:rsidR="00FB099A">
        <w:t>высоким</w:t>
      </w:r>
      <w:r w:rsidRPr="002C731E">
        <w:t>.</w:t>
      </w:r>
      <w:r w:rsidR="00F93734" w:rsidRPr="00F93734">
        <w:t xml:space="preserve"> </w:t>
      </w:r>
      <w:r w:rsidR="00F93734">
        <w:t xml:space="preserve">По оценке </w:t>
      </w:r>
      <w:r w:rsidR="00F93734" w:rsidRPr="008652E9">
        <w:t>эффективности использования средств местного бюджета</w:t>
      </w:r>
      <w:r w:rsidR="00F93734">
        <w:t xml:space="preserve"> уровень эффективности реализации муниципальной программы признается высоким. </w:t>
      </w:r>
    </w:p>
    <w:p w:rsidR="00FB2B90" w:rsidRPr="002C731E" w:rsidRDefault="00FB2B90" w:rsidP="00FB2B90">
      <w:pPr>
        <w:jc w:val="both"/>
      </w:pPr>
      <w:r w:rsidRPr="002C731E">
        <w:t xml:space="preserve"> В целом  уровень эффективности программы «Развитие автомобильных дорог МО «Советское городское поселение» за 202</w:t>
      </w:r>
      <w:r w:rsidR="00F261FA">
        <w:t>3</w:t>
      </w:r>
      <w:r w:rsidRPr="002C731E">
        <w:t xml:space="preserve"> год признается  </w:t>
      </w:r>
      <w:r w:rsidR="00F93734">
        <w:t>высоким</w:t>
      </w:r>
      <w:r w:rsidRPr="002C731E">
        <w:t>.</w:t>
      </w:r>
    </w:p>
    <w:p w:rsidR="00570EFA" w:rsidRPr="002C731E" w:rsidRDefault="00570EFA" w:rsidP="00A56B7D">
      <w:pPr>
        <w:ind w:left="360"/>
        <w:jc w:val="both"/>
      </w:pPr>
    </w:p>
    <w:sectPr w:rsidR="00570EFA" w:rsidRPr="002C731E" w:rsidSect="002C731E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25.05pt;visibility:visible;mso-wrap-style:square" o:bullet="t">
        <v:imagedata r:id="rId1" o:title=""/>
      </v:shape>
    </w:pict>
  </w:numPicBullet>
  <w:abstractNum w:abstractNumId="0">
    <w:nsid w:val="0DC8721A"/>
    <w:multiLevelType w:val="hybridMultilevel"/>
    <w:tmpl w:val="458216C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76373"/>
    <w:multiLevelType w:val="hybridMultilevel"/>
    <w:tmpl w:val="04F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1A67"/>
    <w:multiLevelType w:val="multilevel"/>
    <w:tmpl w:val="541E8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2D7D499E"/>
    <w:multiLevelType w:val="hybridMultilevel"/>
    <w:tmpl w:val="F11C44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43BD"/>
    <w:multiLevelType w:val="hybridMultilevel"/>
    <w:tmpl w:val="01C4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673E7"/>
    <w:multiLevelType w:val="multilevel"/>
    <w:tmpl w:val="BB38F3D6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AD22382"/>
    <w:multiLevelType w:val="hybridMultilevel"/>
    <w:tmpl w:val="04F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A7160"/>
    <w:multiLevelType w:val="hybridMultilevel"/>
    <w:tmpl w:val="8A64C3E2"/>
    <w:lvl w:ilvl="0" w:tplc="32D6B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0D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66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CF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80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85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A4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CA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C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F87781F"/>
    <w:multiLevelType w:val="hybridMultilevel"/>
    <w:tmpl w:val="04F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80E1A"/>
    <w:multiLevelType w:val="hybridMultilevel"/>
    <w:tmpl w:val="DE54F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E0454"/>
    <w:multiLevelType w:val="hybridMultilevel"/>
    <w:tmpl w:val="04F0B9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87A11"/>
    <w:multiLevelType w:val="hybridMultilevel"/>
    <w:tmpl w:val="04F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2F6"/>
    <w:rsid w:val="00000D08"/>
    <w:rsid w:val="0002455C"/>
    <w:rsid w:val="00043693"/>
    <w:rsid w:val="00045B24"/>
    <w:rsid w:val="00045C99"/>
    <w:rsid w:val="00046A8B"/>
    <w:rsid w:val="00051713"/>
    <w:rsid w:val="00051771"/>
    <w:rsid w:val="00056AA0"/>
    <w:rsid w:val="000711B6"/>
    <w:rsid w:val="0007566E"/>
    <w:rsid w:val="0008221A"/>
    <w:rsid w:val="000835F2"/>
    <w:rsid w:val="000870BB"/>
    <w:rsid w:val="000A2C1F"/>
    <w:rsid w:val="000A7970"/>
    <w:rsid w:val="000B402A"/>
    <w:rsid w:val="000B47F3"/>
    <w:rsid w:val="000C1103"/>
    <w:rsid w:val="000D428F"/>
    <w:rsid w:val="000E498C"/>
    <w:rsid w:val="000F32A1"/>
    <w:rsid w:val="000F3FEE"/>
    <w:rsid w:val="000F77CE"/>
    <w:rsid w:val="001101F6"/>
    <w:rsid w:val="00122BF7"/>
    <w:rsid w:val="00122F3B"/>
    <w:rsid w:val="00123884"/>
    <w:rsid w:val="00123B37"/>
    <w:rsid w:val="00125605"/>
    <w:rsid w:val="00133A6F"/>
    <w:rsid w:val="00142DEF"/>
    <w:rsid w:val="00143899"/>
    <w:rsid w:val="00165414"/>
    <w:rsid w:val="00182A22"/>
    <w:rsid w:val="00186F7C"/>
    <w:rsid w:val="00190DDE"/>
    <w:rsid w:val="0019722A"/>
    <w:rsid w:val="001B1DC2"/>
    <w:rsid w:val="001B28CC"/>
    <w:rsid w:val="001B50DF"/>
    <w:rsid w:val="001C4C09"/>
    <w:rsid w:val="001D17A5"/>
    <w:rsid w:val="001D5B8B"/>
    <w:rsid w:val="001E6D1D"/>
    <w:rsid w:val="001F10FD"/>
    <w:rsid w:val="00210909"/>
    <w:rsid w:val="00217A23"/>
    <w:rsid w:val="00221F0C"/>
    <w:rsid w:val="002312C5"/>
    <w:rsid w:val="00233010"/>
    <w:rsid w:val="00235FB3"/>
    <w:rsid w:val="00240A18"/>
    <w:rsid w:val="0024197A"/>
    <w:rsid w:val="00260986"/>
    <w:rsid w:val="002651D9"/>
    <w:rsid w:val="002826FD"/>
    <w:rsid w:val="00291678"/>
    <w:rsid w:val="002972AF"/>
    <w:rsid w:val="002A2C4E"/>
    <w:rsid w:val="002C0DAD"/>
    <w:rsid w:val="002C509C"/>
    <w:rsid w:val="002C731E"/>
    <w:rsid w:val="002E5901"/>
    <w:rsid w:val="002E5C66"/>
    <w:rsid w:val="002F364D"/>
    <w:rsid w:val="003321A1"/>
    <w:rsid w:val="00352161"/>
    <w:rsid w:val="00361D9C"/>
    <w:rsid w:val="00395A43"/>
    <w:rsid w:val="0039626A"/>
    <w:rsid w:val="00397D50"/>
    <w:rsid w:val="003A2B3B"/>
    <w:rsid w:val="003A2D7C"/>
    <w:rsid w:val="003A64CA"/>
    <w:rsid w:val="003C706D"/>
    <w:rsid w:val="003D03D2"/>
    <w:rsid w:val="003D7172"/>
    <w:rsid w:val="003F01C9"/>
    <w:rsid w:val="00407BDC"/>
    <w:rsid w:val="0043238F"/>
    <w:rsid w:val="00433DF0"/>
    <w:rsid w:val="00444F24"/>
    <w:rsid w:val="004462E6"/>
    <w:rsid w:val="00446DDC"/>
    <w:rsid w:val="00457FF3"/>
    <w:rsid w:val="0046031E"/>
    <w:rsid w:val="004723DF"/>
    <w:rsid w:val="0049030F"/>
    <w:rsid w:val="00495629"/>
    <w:rsid w:val="004A36B4"/>
    <w:rsid w:val="004A3BE6"/>
    <w:rsid w:val="004B6F62"/>
    <w:rsid w:val="004B7429"/>
    <w:rsid w:val="004B76FC"/>
    <w:rsid w:val="004C3900"/>
    <w:rsid w:val="004D3FAD"/>
    <w:rsid w:val="004D5FD8"/>
    <w:rsid w:val="004D66A6"/>
    <w:rsid w:val="004D6886"/>
    <w:rsid w:val="004D6FBF"/>
    <w:rsid w:val="004D786D"/>
    <w:rsid w:val="004E1155"/>
    <w:rsid w:val="004F7F2F"/>
    <w:rsid w:val="005026A2"/>
    <w:rsid w:val="0051051F"/>
    <w:rsid w:val="005134B5"/>
    <w:rsid w:val="005158D4"/>
    <w:rsid w:val="005167AA"/>
    <w:rsid w:val="00541C72"/>
    <w:rsid w:val="00544E2A"/>
    <w:rsid w:val="0054669E"/>
    <w:rsid w:val="00554DAC"/>
    <w:rsid w:val="00554F39"/>
    <w:rsid w:val="0056455E"/>
    <w:rsid w:val="00570EFA"/>
    <w:rsid w:val="00573185"/>
    <w:rsid w:val="005732F6"/>
    <w:rsid w:val="00593035"/>
    <w:rsid w:val="005A19EA"/>
    <w:rsid w:val="005B1F02"/>
    <w:rsid w:val="005C0348"/>
    <w:rsid w:val="005C3B67"/>
    <w:rsid w:val="005D4E70"/>
    <w:rsid w:val="005E0DF7"/>
    <w:rsid w:val="005F3B13"/>
    <w:rsid w:val="006010D5"/>
    <w:rsid w:val="00630BA6"/>
    <w:rsid w:val="0064442D"/>
    <w:rsid w:val="006664C9"/>
    <w:rsid w:val="006713A4"/>
    <w:rsid w:val="006721F9"/>
    <w:rsid w:val="006723AA"/>
    <w:rsid w:val="006862A4"/>
    <w:rsid w:val="006A4BD2"/>
    <w:rsid w:val="006B0A87"/>
    <w:rsid w:val="006B6836"/>
    <w:rsid w:val="006C062D"/>
    <w:rsid w:val="006C4625"/>
    <w:rsid w:val="006D4E0F"/>
    <w:rsid w:val="006D6667"/>
    <w:rsid w:val="006E08CF"/>
    <w:rsid w:val="006E779E"/>
    <w:rsid w:val="006F5512"/>
    <w:rsid w:val="007100E8"/>
    <w:rsid w:val="0072227A"/>
    <w:rsid w:val="00722776"/>
    <w:rsid w:val="00727B4A"/>
    <w:rsid w:val="00730A93"/>
    <w:rsid w:val="00731D39"/>
    <w:rsid w:val="00736508"/>
    <w:rsid w:val="007368F3"/>
    <w:rsid w:val="00747561"/>
    <w:rsid w:val="007656FC"/>
    <w:rsid w:val="0076689B"/>
    <w:rsid w:val="007943AB"/>
    <w:rsid w:val="007A3D0A"/>
    <w:rsid w:val="007A6662"/>
    <w:rsid w:val="007B43BD"/>
    <w:rsid w:val="007C5E7B"/>
    <w:rsid w:val="007D54AB"/>
    <w:rsid w:val="007D564A"/>
    <w:rsid w:val="007D7614"/>
    <w:rsid w:val="007E0D7B"/>
    <w:rsid w:val="007F0F26"/>
    <w:rsid w:val="007F5003"/>
    <w:rsid w:val="00802070"/>
    <w:rsid w:val="00802A7D"/>
    <w:rsid w:val="00810458"/>
    <w:rsid w:val="008175E6"/>
    <w:rsid w:val="00817753"/>
    <w:rsid w:val="00821496"/>
    <w:rsid w:val="008349BD"/>
    <w:rsid w:val="008421E9"/>
    <w:rsid w:val="00846B0C"/>
    <w:rsid w:val="008565B1"/>
    <w:rsid w:val="00870ACA"/>
    <w:rsid w:val="00877544"/>
    <w:rsid w:val="00892A19"/>
    <w:rsid w:val="008A13FD"/>
    <w:rsid w:val="008A1607"/>
    <w:rsid w:val="008B1829"/>
    <w:rsid w:val="008B19B0"/>
    <w:rsid w:val="008C05D0"/>
    <w:rsid w:val="008C260B"/>
    <w:rsid w:val="008E2D2D"/>
    <w:rsid w:val="008E430D"/>
    <w:rsid w:val="008E44AF"/>
    <w:rsid w:val="008F3678"/>
    <w:rsid w:val="008F36C8"/>
    <w:rsid w:val="008F5D96"/>
    <w:rsid w:val="009222D1"/>
    <w:rsid w:val="00946EF5"/>
    <w:rsid w:val="00950F17"/>
    <w:rsid w:val="00953519"/>
    <w:rsid w:val="00955BBB"/>
    <w:rsid w:val="00962CC3"/>
    <w:rsid w:val="009639B6"/>
    <w:rsid w:val="009758ED"/>
    <w:rsid w:val="009A3D2E"/>
    <w:rsid w:val="009A75C8"/>
    <w:rsid w:val="009B3554"/>
    <w:rsid w:val="009D11E3"/>
    <w:rsid w:val="009E3D4D"/>
    <w:rsid w:val="009F0420"/>
    <w:rsid w:val="00A02532"/>
    <w:rsid w:val="00A06214"/>
    <w:rsid w:val="00A1721E"/>
    <w:rsid w:val="00A257B4"/>
    <w:rsid w:val="00A265D7"/>
    <w:rsid w:val="00A274B9"/>
    <w:rsid w:val="00A56B7D"/>
    <w:rsid w:val="00A60182"/>
    <w:rsid w:val="00A672DC"/>
    <w:rsid w:val="00A75C1E"/>
    <w:rsid w:val="00A771DC"/>
    <w:rsid w:val="00A84AAC"/>
    <w:rsid w:val="00AA7583"/>
    <w:rsid w:val="00AB59FA"/>
    <w:rsid w:val="00AC3552"/>
    <w:rsid w:val="00AD28E8"/>
    <w:rsid w:val="00AE2B50"/>
    <w:rsid w:val="00AE3D17"/>
    <w:rsid w:val="00AF32F9"/>
    <w:rsid w:val="00AF6707"/>
    <w:rsid w:val="00B01EC8"/>
    <w:rsid w:val="00B333A2"/>
    <w:rsid w:val="00B354B5"/>
    <w:rsid w:val="00B46A39"/>
    <w:rsid w:val="00B723E8"/>
    <w:rsid w:val="00B80E81"/>
    <w:rsid w:val="00B86039"/>
    <w:rsid w:val="00B92321"/>
    <w:rsid w:val="00B92E0E"/>
    <w:rsid w:val="00B97F6C"/>
    <w:rsid w:val="00BA7CAA"/>
    <w:rsid w:val="00BD12AC"/>
    <w:rsid w:val="00BD492D"/>
    <w:rsid w:val="00BE41BE"/>
    <w:rsid w:val="00BE4ED2"/>
    <w:rsid w:val="00C026F0"/>
    <w:rsid w:val="00C041B5"/>
    <w:rsid w:val="00C04BAA"/>
    <w:rsid w:val="00C12F7A"/>
    <w:rsid w:val="00C20CFA"/>
    <w:rsid w:val="00C219BC"/>
    <w:rsid w:val="00C22B5E"/>
    <w:rsid w:val="00C34652"/>
    <w:rsid w:val="00C44997"/>
    <w:rsid w:val="00C4535F"/>
    <w:rsid w:val="00C555C3"/>
    <w:rsid w:val="00C55B60"/>
    <w:rsid w:val="00C573E1"/>
    <w:rsid w:val="00C607B5"/>
    <w:rsid w:val="00C64570"/>
    <w:rsid w:val="00C678BF"/>
    <w:rsid w:val="00C864A2"/>
    <w:rsid w:val="00C87458"/>
    <w:rsid w:val="00C9354E"/>
    <w:rsid w:val="00C959F2"/>
    <w:rsid w:val="00CA013C"/>
    <w:rsid w:val="00CA0E07"/>
    <w:rsid w:val="00CA67CB"/>
    <w:rsid w:val="00CB5F1F"/>
    <w:rsid w:val="00CC0F78"/>
    <w:rsid w:val="00CC18A4"/>
    <w:rsid w:val="00CC2D78"/>
    <w:rsid w:val="00CD03F3"/>
    <w:rsid w:val="00CD185B"/>
    <w:rsid w:val="00CE2B8C"/>
    <w:rsid w:val="00D03CD4"/>
    <w:rsid w:val="00D06DC4"/>
    <w:rsid w:val="00D210FA"/>
    <w:rsid w:val="00D21C3D"/>
    <w:rsid w:val="00D23F9A"/>
    <w:rsid w:val="00D241D3"/>
    <w:rsid w:val="00D32A7C"/>
    <w:rsid w:val="00D33F52"/>
    <w:rsid w:val="00D4770E"/>
    <w:rsid w:val="00D53D18"/>
    <w:rsid w:val="00D54A87"/>
    <w:rsid w:val="00D564B3"/>
    <w:rsid w:val="00D602D2"/>
    <w:rsid w:val="00D76598"/>
    <w:rsid w:val="00D765CE"/>
    <w:rsid w:val="00D8344C"/>
    <w:rsid w:val="00DA1432"/>
    <w:rsid w:val="00DA552A"/>
    <w:rsid w:val="00DB1204"/>
    <w:rsid w:val="00DC2370"/>
    <w:rsid w:val="00DC3367"/>
    <w:rsid w:val="00DD4C5A"/>
    <w:rsid w:val="00DD67FF"/>
    <w:rsid w:val="00DF031E"/>
    <w:rsid w:val="00DF6F1E"/>
    <w:rsid w:val="00E0434E"/>
    <w:rsid w:val="00E22840"/>
    <w:rsid w:val="00E25DE1"/>
    <w:rsid w:val="00E40801"/>
    <w:rsid w:val="00E43E5B"/>
    <w:rsid w:val="00E4707B"/>
    <w:rsid w:val="00E479C9"/>
    <w:rsid w:val="00E534C2"/>
    <w:rsid w:val="00E53DB9"/>
    <w:rsid w:val="00E84D7B"/>
    <w:rsid w:val="00E87EAE"/>
    <w:rsid w:val="00E910C8"/>
    <w:rsid w:val="00E94705"/>
    <w:rsid w:val="00E958EE"/>
    <w:rsid w:val="00E97E8B"/>
    <w:rsid w:val="00EB1706"/>
    <w:rsid w:val="00EB40C4"/>
    <w:rsid w:val="00ED05E4"/>
    <w:rsid w:val="00ED5712"/>
    <w:rsid w:val="00EE32A6"/>
    <w:rsid w:val="00EE7149"/>
    <w:rsid w:val="00EF28BF"/>
    <w:rsid w:val="00EF7B69"/>
    <w:rsid w:val="00F03A81"/>
    <w:rsid w:val="00F14901"/>
    <w:rsid w:val="00F202CC"/>
    <w:rsid w:val="00F206F1"/>
    <w:rsid w:val="00F261FA"/>
    <w:rsid w:val="00F417D3"/>
    <w:rsid w:val="00F41B6F"/>
    <w:rsid w:val="00F47CDC"/>
    <w:rsid w:val="00F74A43"/>
    <w:rsid w:val="00F76C7C"/>
    <w:rsid w:val="00F8398A"/>
    <w:rsid w:val="00F93734"/>
    <w:rsid w:val="00F93963"/>
    <w:rsid w:val="00F93CE8"/>
    <w:rsid w:val="00FA2704"/>
    <w:rsid w:val="00FA468C"/>
    <w:rsid w:val="00FB099A"/>
    <w:rsid w:val="00FB2B90"/>
    <w:rsid w:val="00FB7A59"/>
    <w:rsid w:val="00FC47A5"/>
    <w:rsid w:val="00FD36B0"/>
    <w:rsid w:val="00FD66F9"/>
    <w:rsid w:val="00FD7858"/>
    <w:rsid w:val="00FE297A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3552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A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3552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A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65D8-4797-4448-9329-7128928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2024-03-26T11:42:00Z</cp:lastPrinted>
  <dcterms:created xsi:type="dcterms:W3CDTF">2024-03-26T12:28:00Z</dcterms:created>
  <dcterms:modified xsi:type="dcterms:W3CDTF">2024-03-27T08:40:00Z</dcterms:modified>
</cp:coreProperties>
</file>