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91" w:type="dxa"/>
        <w:tblLayout w:type="fixed"/>
        <w:tblLook w:val="04A0"/>
      </w:tblPr>
      <w:tblGrid>
        <w:gridCol w:w="3136"/>
        <w:gridCol w:w="992"/>
        <w:gridCol w:w="1276"/>
        <w:gridCol w:w="1134"/>
        <w:gridCol w:w="1134"/>
        <w:gridCol w:w="993"/>
        <w:gridCol w:w="992"/>
        <w:gridCol w:w="1440"/>
        <w:gridCol w:w="1111"/>
        <w:gridCol w:w="992"/>
        <w:gridCol w:w="993"/>
        <w:gridCol w:w="1133"/>
      </w:tblGrid>
      <w:tr w:rsidR="002216A9" w:rsidRPr="002216A9" w:rsidTr="002216A9">
        <w:trPr>
          <w:trHeight w:val="1365"/>
        </w:trPr>
        <w:tc>
          <w:tcPr>
            <w:tcW w:w="15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  <w:r w:rsidRPr="002216A9">
              <w:rPr>
                <w:b/>
                <w:bCs/>
                <w:color w:val="000000"/>
              </w:rPr>
              <w:t xml:space="preserve">ОТЧЕТ </w:t>
            </w:r>
          </w:p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  <w:r w:rsidRPr="002216A9">
              <w:rPr>
                <w:b/>
                <w:bCs/>
                <w:color w:val="000000"/>
              </w:rPr>
              <w:t>О РЕАЛИЗАЦИИ МЕРОПРИЯТИЙ МУНИЦИПАЛЬНОЙ ПРОГРАММЫ</w:t>
            </w:r>
            <w:r>
              <w:rPr>
                <w:b/>
                <w:bCs/>
                <w:color w:val="000000"/>
              </w:rPr>
              <w:t xml:space="preserve"> </w:t>
            </w:r>
            <w:r w:rsidRPr="002216A9">
              <w:rPr>
                <w:b/>
                <w:bCs/>
                <w:color w:val="000000"/>
              </w:rPr>
              <w:t>«ОБЕСПЕЧЕНИЕ КАЧЕСТВЕННЫМ ЖИЛЬЕМ ГРАЖДАН НА  ТЕРРИТОРИИ МО «СОВЕТСКОЕ ГОРОДСКОЕ  ПОСЕЛЕНИЕ» на 01 января 2024 года (нарастающим итогом)</w:t>
            </w:r>
          </w:p>
        </w:tc>
      </w:tr>
      <w:tr w:rsidR="002216A9" w:rsidRPr="002216A9" w:rsidTr="002216A9">
        <w:trPr>
          <w:trHeight w:val="37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A9" w:rsidRPr="002216A9" w:rsidRDefault="002216A9" w:rsidP="002216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A9" w:rsidRPr="002216A9" w:rsidRDefault="002216A9" w:rsidP="002216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A9" w:rsidRPr="002216A9" w:rsidRDefault="002216A9" w:rsidP="002216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6A9" w:rsidRPr="002216A9" w:rsidRDefault="002216A9" w:rsidP="002216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6A9" w:rsidRPr="002216A9" w:rsidRDefault="002216A9" w:rsidP="002216A9">
            <w:pPr>
              <w:jc w:val="right"/>
              <w:rPr>
                <w:color w:val="000000"/>
                <w:sz w:val="20"/>
                <w:szCs w:val="20"/>
              </w:rPr>
            </w:pPr>
            <w:r w:rsidRPr="002216A9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2216A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216A9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2216A9" w:rsidRPr="002216A9" w:rsidTr="00AC374E">
        <w:trPr>
          <w:trHeight w:val="73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                                                                               План на 2023 год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AC37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Объем финансирования                                                                                                                         Факт на 01.01.2024 года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% исполнения за 2023 год</w:t>
            </w:r>
          </w:p>
        </w:tc>
      </w:tr>
      <w:tr w:rsidR="002216A9" w:rsidRPr="002216A9" w:rsidTr="002216A9">
        <w:trPr>
          <w:trHeight w:val="22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</w:tr>
      <w:tr w:rsidR="002216A9" w:rsidRPr="002216A9" w:rsidTr="002216A9">
        <w:trPr>
          <w:trHeight w:val="852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</w:p>
        </w:tc>
      </w:tr>
      <w:tr w:rsidR="002216A9" w:rsidRPr="002216A9" w:rsidTr="002216A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216A9" w:rsidRPr="002216A9" w:rsidTr="002216A9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1. Программа «ОБЕСПЕЧЕНИЕ КАЧЕСТВЕННЫМ ЖИЛЬЕМ ГРАЖДАН НА  ТЕРРИТОРИИ МО «СОВЕТСКОЕ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ГОРОДСКОЕ 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3 348,7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3 348,7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92,9</w:t>
            </w:r>
          </w:p>
        </w:tc>
      </w:tr>
      <w:tr w:rsidR="002216A9" w:rsidRPr="002216A9" w:rsidTr="002216A9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1.1  Комплекс процессных мероприятий  «Развитие жилищного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3 603,0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3 348,7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3 348,7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92,9</w:t>
            </w:r>
          </w:p>
        </w:tc>
      </w:tr>
      <w:tr w:rsidR="002216A9" w:rsidRPr="002216A9" w:rsidTr="002216A9">
        <w:trPr>
          <w:trHeight w:val="3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2 174,2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2 174,2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2 004,7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92,2</w:t>
            </w:r>
          </w:p>
        </w:tc>
      </w:tr>
      <w:tr w:rsidR="002216A9" w:rsidRPr="002216A9" w:rsidTr="002216A9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1.1.1 Оплата взносов на капитальный ремонт в НО «Фонд капитального ремонта многоквартирных домов Ленинградской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2 174,2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2 174,2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2 004,7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2 004,7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92,2</w:t>
            </w:r>
          </w:p>
        </w:tc>
      </w:tr>
      <w:tr w:rsidR="002216A9" w:rsidRPr="002216A9" w:rsidTr="002216A9">
        <w:trPr>
          <w:trHeight w:val="7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2.1 Содержание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624,6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539,8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539,8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279,5</w:t>
            </w:r>
          </w:p>
        </w:tc>
      </w:tr>
      <w:tr w:rsidR="002216A9" w:rsidRPr="002216A9" w:rsidTr="002216A9">
        <w:trPr>
          <w:trHeight w:val="16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1.2.1 Оказание услуг по выполнению визуально-инструментального обследования строительных конструкций многоквартирных жилых домов расположенных по адресу: 1. гп. Советский</w:t>
            </w:r>
            <w:proofErr w:type="gramStart"/>
            <w:r w:rsidRPr="002216A9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216A9">
              <w:rPr>
                <w:color w:val="000000"/>
                <w:sz w:val="18"/>
                <w:szCs w:val="18"/>
              </w:rPr>
              <w:t xml:space="preserve"> ул. Набережная, д.9; 2. гп. Советский, ул. Садовая, д.17; 3. пос. Токарево, ул</w:t>
            </w:r>
            <w:proofErr w:type="gramStart"/>
            <w:r w:rsidRPr="002216A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216A9">
              <w:rPr>
                <w:color w:val="000000"/>
                <w:sz w:val="18"/>
                <w:szCs w:val="18"/>
              </w:rPr>
              <w:t>адовая, д.10, п.Попово,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136,3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136,3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136,3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216A9" w:rsidRPr="002216A9" w:rsidTr="002216A9">
        <w:trPr>
          <w:trHeight w:val="14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lastRenderedPageBreak/>
              <w:t>1.2.2 Выполнение комплекса кадастровых работ с целью осуществления государственного кадастрового учета земельных участков под многоквартирными домами на территории МО "Советское городское поселение" Выборгского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412,7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327,9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327,9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79,5</w:t>
            </w:r>
          </w:p>
        </w:tc>
      </w:tr>
      <w:tr w:rsidR="002216A9" w:rsidRPr="002216A9" w:rsidTr="002216A9">
        <w:trPr>
          <w:trHeight w:val="15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1.2.3 Разработка проекта организации работ по сносу объекта капитального строительства – многоквартирный жилой дом, расположенный по адресу: Ленинградская область, Выборгский район, п. Дятлово, ул. Героев Танкистов,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75,6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75,6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75,6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216A9" w:rsidRPr="002216A9" w:rsidTr="002216A9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3.1 Оплата расходов по судебным актам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804,2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16A9" w:rsidRPr="002216A9" w:rsidTr="002216A9">
        <w:trPr>
          <w:trHeight w:val="7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3.1.1 Возмещение затрат по оплате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804,2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804,2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16A9" w:rsidRPr="002216A9" w:rsidTr="002216A9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2. Комплекс процессных мероприятий «Оказание поддержки граждан, пострадавших в результате пожара муниципального жилищного фонда на территории МО «Советское городское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16A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16A9" w:rsidRPr="002216A9" w:rsidTr="002216A9">
        <w:trPr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A9" w:rsidRPr="002216A9" w:rsidRDefault="002216A9" w:rsidP="002216A9">
            <w:pPr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2.1 Мероприятия по оказанию поддержки гражданам, пострадавшим в результате пожара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A9" w:rsidRPr="002216A9" w:rsidRDefault="002216A9" w:rsidP="002216A9">
            <w:pPr>
              <w:jc w:val="center"/>
              <w:rPr>
                <w:color w:val="000000"/>
                <w:sz w:val="18"/>
                <w:szCs w:val="18"/>
              </w:rPr>
            </w:pPr>
            <w:r w:rsidRPr="002216A9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216A9" w:rsidRPr="002216A9" w:rsidRDefault="002216A9">
      <w:pPr>
        <w:spacing w:after="200" w:line="276" w:lineRule="auto"/>
        <w:rPr>
          <w:b/>
          <w:sz w:val="18"/>
          <w:szCs w:val="18"/>
        </w:rPr>
        <w:sectPr w:rsidR="002216A9" w:rsidRPr="002216A9" w:rsidSect="002216A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2216A9">
        <w:rPr>
          <w:b/>
          <w:sz w:val="18"/>
          <w:szCs w:val="18"/>
        </w:rPr>
        <w:br w:type="page"/>
      </w:r>
    </w:p>
    <w:p w:rsidR="00FD3145" w:rsidRPr="00D82BFF" w:rsidRDefault="00FC1A69" w:rsidP="006C127C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21298B">
        <w:rPr>
          <w:b/>
        </w:rPr>
        <w:t>По</w:t>
      </w:r>
      <w:r w:rsidR="00FD3145" w:rsidRPr="00D82BFF">
        <w:rPr>
          <w:b/>
        </w:rPr>
        <w:t>яснительная записка</w:t>
      </w:r>
    </w:p>
    <w:p w:rsidR="00FD3145" w:rsidRDefault="00FD3145" w:rsidP="006C127C">
      <w:pPr>
        <w:jc w:val="center"/>
        <w:rPr>
          <w:b/>
        </w:rPr>
      </w:pPr>
      <w:r w:rsidRPr="00D82BFF">
        <w:rPr>
          <w:b/>
        </w:rPr>
        <w:t>к отчету о реализации мероприятий муниципальной программы «Обеспечение</w:t>
      </w:r>
      <w:r>
        <w:rPr>
          <w:b/>
        </w:rPr>
        <w:t xml:space="preserve"> качественным жильем граждан на территории МО «Советское городс</w:t>
      </w:r>
      <w:r w:rsidR="002E0A56">
        <w:rPr>
          <w:b/>
        </w:rPr>
        <w:t>кое поселение»</w:t>
      </w:r>
      <w:r>
        <w:rPr>
          <w:b/>
        </w:rPr>
        <w:t xml:space="preserve"> за</w:t>
      </w:r>
      <w:r w:rsidR="00B94EC9">
        <w:rPr>
          <w:b/>
        </w:rPr>
        <w:t xml:space="preserve"> </w:t>
      </w:r>
      <w:r>
        <w:rPr>
          <w:b/>
        </w:rPr>
        <w:t>20</w:t>
      </w:r>
      <w:r w:rsidR="00524E27">
        <w:rPr>
          <w:b/>
        </w:rPr>
        <w:t>2</w:t>
      </w:r>
      <w:r w:rsidR="001813A5">
        <w:rPr>
          <w:b/>
        </w:rPr>
        <w:t>3</w:t>
      </w:r>
      <w:r w:rsidR="0048220D">
        <w:rPr>
          <w:b/>
        </w:rPr>
        <w:t xml:space="preserve"> год.</w:t>
      </w:r>
    </w:p>
    <w:p w:rsidR="0021298B" w:rsidRPr="00AF5C5C" w:rsidRDefault="0021298B" w:rsidP="006C127C">
      <w:pPr>
        <w:jc w:val="center"/>
        <w:rPr>
          <w:b/>
        </w:rPr>
      </w:pPr>
    </w:p>
    <w:p w:rsidR="0021298B" w:rsidRPr="002B7BF8" w:rsidRDefault="0021298B" w:rsidP="006C127C">
      <w:pPr>
        <w:ind w:firstLine="708"/>
        <w:jc w:val="both"/>
      </w:pPr>
      <w:r w:rsidRPr="009E3C84">
        <w:t xml:space="preserve">Исполнение плана реализации мероприятий муниципальной программы «Обеспечение </w:t>
      </w:r>
      <w:r w:rsidRPr="002B7BF8">
        <w:t>качественны</w:t>
      </w:r>
      <w:r w:rsidR="009928D9" w:rsidRPr="002B7BF8">
        <w:t>м жильем граждан на территории муниципального образования</w:t>
      </w:r>
      <w:r w:rsidRPr="002B7BF8">
        <w:t xml:space="preserve"> «Советское городское поселение»</w:t>
      </w:r>
      <w:r w:rsidR="009928D9" w:rsidRPr="002B7BF8">
        <w:t xml:space="preserve"> Выборгского района Ленинградской области</w:t>
      </w:r>
      <w:r w:rsidRPr="002B7BF8">
        <w:t xml:space="preserve">, </w:t>
      </w:r>
      <w:r w:rsidR="001C6F8C">
        <w:t>комплекс процессных мероприятий</w:t>
      </w:r>
      <w:r w:rsidR="000645C9" w:rsidRPr="002B7BF8">
        <w:t xml:space="preserve"> «Развитие жилищного хозяйства» </w:t>
      </w:r>
      <w:r w:rsidR="009928D9" w:rsidRPr="002B7BF8">
        <w:t xml:space="preserve">составляет </w:t>
      </w:r>
      <w:r w:rsidR="007D0980">
        <w:t>92,9</w:t>
      </w:r>
      <w:r w:rsidRPr="002B7BF8">
        <w:t>%  к годовому плану на 20</w:t>
      </w:r>
      <w:r w:rsidR="00524E27">
        <w:t>2</w:t>
      </w:r>
      <w:r w:rsidR="007D0980">
        <w:t>3</w:t>
      </w:r>
      <w:r w:rsidRPr="002B7BF8">
        <w:t xml:space="preserve"> год </w:t>
      </w:r>
      <w:r w:rsidR="00A1789F" w:rsidRPr="00A1789F">
        <w:t xml:space="preserve"> </w:t>
      </w:r>
      <w:r w:rsidR="00A1789F">
        <w:t>(</w:t>
      </w:r>
      <w:r w:rsidR="00A1789F" w:rsidRPr="006723AA">
        <w:t xml:space="preserve">план </w:t>
      </w:r>
      <w:r w:rsidR="007D0980">
        <w:t>3</w:t>
      </w:r>
      <w:r w:rsidR="00FC1A69">
        <w:t xml:space="preserve"> </w:t>
      </w:r>
      <w:r w:rsidR="007D0980">
        <w:t>603,0</w:t>
      </w:r>
      <w:r w:rsidR="00A1789F" w:rsidRPr="006723AA">
        <w:rPr>
          <w:bCs/>
          <w:iCs/>
          <w:color w:val="000000"/>
        </w:rPr>
        <w:t xml:space="preserve"> </w:t>
      </w:r>
      <w:r w:rsidR="00A1789F" w:rsidRPr="006723AA">
        <w:t xml:space="preserve">тыс. руб., исполнение – </w:t>
      </w:r>
      <w:r w:rsidR="007D0980">
        <w:t>3</w:t>
      </w:r>
      <w:r w:rsidR="00FC1A69">
        <w:t xml:space="preserve"> </w:t>
      </w:r>
      <w:r w:rsidR="007D0980">
        <w:t>348,7</w:t>
      </w:r>
      <w:r w:rsidR="00A1789F" w:rsidRPr="006723AA">
        <w:rPr>
          <w:b/>
          <w:bCs/>
          <w:iCs/>
          <w:color w:val="000000"/>
        </w:rPr>
        <w:t xml:space="preserve"> </w:t>
      </w:r>
      <w:r w:rsidR="00A1789F" w:rsidRPr="006723AA">
        <w:t>тыс.</w:t>
      </w:r>
      <w:r w:rsidR="00933031">
        <w:t xml:space="preserve"> </w:t>
      </w:r>
      <w:r w:rsidR="00A1789F" w:rsidRPr="006723AA">
        <w:t>руб.</w:t>
      </w:r>
      <w:r w:rsidR="00A1789F">
        <w:t>).</w:t>
      </w:r>
    </w:p>
    <w:p w:rsidR="00DF1D7A" w:rsidRDefault="00D921CB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759E" w:rsidRPr="002B7BF8">
        <w:rPr>
          <w:rFonts w:ascii="Times New Roman" w:hAnsi="Times New Roman" w:cs="Times New Roman"/>
          <w:sz w:val="24"/>
          <w:szCs w:val="24"/>
        </w:rPr>
        <w:t>ыполнены мероприятия:</w:t>
      </w:r>
    </w:p>
    <w:p w:rsidR="00DF1D7A" w:rsidRDefault="003B759E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BF8">
        <w:rPr>
          <w:rFonts w:ascii="Times New Roman" w:hAnsi="Times New Roman" w:cs="Times New Roman"/>
          <w:sz w:val="24"/>
          <w:szCs w:val="24"/>
        </w:rPr>
        <w:t xml:space="preserve"> - </w:t>
      </w:r>
      <w:r w:rsidR="008A79BF" w:rsidRPr="002B7BF8">
        <w:rPr>
          <w:rFonts w:ascii="Times New Roman" w:hAnsi="Times New Roman" w:cs="Times New Roman"/>
          <w:sz w:val="24"/>
          <w:szCs w:val="24"/>
        </w:rPr>
        <w:t xml:space="preserve">оплата взносов на капитальный ремонт в НО «Фонд капитального ремонта многоквартирных домов Ленинградской области» в сумме </w:t>
      </w:r>
      <w:r w:rsidR="007D0980">
        <w:rPr>
          <w:rFonts w:ascii="Times New Roman" w:hAnsi="Times New Roman" w:cs="Times New Roman"/>
          <w:sz w:val="24"/>
          <w:szCs w:val="24"/>
        </w:rPr>
        <w:t>2</w:t>
      </w:r>
      <w:r w:rsidR="00FC1A69">
        <w:rPr>
          <w:rFonts w:ascii="Times New Roman" w:hAnsi="Times New Roman" w:cs="Times New Roman"/>
          <w:sz w:val="24"/>
          <w:szCs w:val="24"/>
        </w:rPr>
        <w:t xml:space="preserve"> </w:t>
      </w:r>
      <w:r w:rsidR="007D0980">
        <w:rPr>
          <w:rFonts w:ascii="Times New Roman" w:hAnsi="Times New Roman" w:cs="Times New Roman"/>
          <w:sz w:val="24"/>
          <w:szCs w:val="24"/>
        </w:rPr>
        <w:t>004,7</w:t>
      </w:r>
      <w:r w:rsidR="00D921CB">
        <w:rPr>
          <w:rFonts w:ascii="Times New Roman" w:hAnsi="Times New Roman" w:cs="Times New Roman"/>
          <w:sz w:val="24"/>
          <w:szCs w:val="24"/>
        </w:rPr>
        <w:t xml:space="preserve"> тыс.</w:t>
      </w:r>
      <w:r w:rsidR="00933031">
        <w:rPr>
          <w:rFonts w:ascii="Times New Roman" w:hAnsi="Times New Roman" w:cs="Times New Roman"/>
          <w:sz w:val="24"/>
          <w:szCs w:val="24"/>
        </w:rPr>
        <w:t xml:space="preserve"> </w:t>
      </w:r>
      <w:r w:rsidR="008A79BF" w:rsidRPr="002B7BF8">
        <w:rPr>
          <w:rFonts w:ascii="Times New Roman" w:hAnsi="Times New Roman" w:cs="Times New Roman"/>
          <w:sz w:val="24"/>
          <w:szCs w:val="24"/>
        </w:rPr>
        <w:t>руб</w:t>
      </w:r>
      <w:r w:rsidR="007D0980">
        <w:rPr>
          <w:rFonts w:ascii="Times New Roman" w:hAnsi="Times New Roman" w:cs="Times New Roman"/>
          <w:sz w:val="24"/>
          <w:szCs w:val="24"/>
        </w:rPr>
        <w:t>.;</w:t>
      </w:r>
    </w:p>
    <w:p w:rsidR="007D0980" w:rsidRDefault="007D0980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D0980">
        <w:rPr>
          <w:rFonts w:ascii="Times New Roman" w:hAnsi="Times New Roman" w:cs="Times New Roman"/>
          <w:sz w:val="24"/>
          <w:szCs w:val="24"/>
        </w:rPr>
        <w:t xml:space="preserve">казание услуг по выполнению визуально-инструментального обследования строительных конструкций многоквартирных жилых домов расположенных по адресу: гп. </w:t>
      </w:r>
      <w:proofErr w:type="gramStart"/>
      <w:r w:rsidRPr="007D0980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7D0980">
        <w:rPr>
          <w:rFonts w:ascii="Times New Roman" w:hAnsi="Times New Roman" w:cs="Times New Roman"/>
          <w:sz w:val="24"/>
          <w:szCs w:val="24"/>
        </w:rPr>
        <w:t>, ул. Набережная, д.9;  гп. Советский, ул. Садовая, д.17; . пос. Токарево, ул</w:t>
      </w:r>
      <w:proofErr w:type="gramStart"/>
      <w:r w:rsidRPr="007D098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D0980">
        <w:rPr>
          <w:rFonts w:ascii="Times New Roman" w:hAnsi="Times New Roman" w:cs="Times New Roman"/>
          <w:sz w:val="24"/>
          <w:szCs w:val="24"/>
        </w:rPr>
        <w:t>адовая, д.10, п.Попово, д.1</w:t>
      </w:r>
      <w:r>
        <w:rPr>
          <w:rFonts w:ascii="Times New Roman" w:hAnsi="Times New Roman" w:cs="Times New Roman"/>
          <w:sz w:val="24"/>
          <w:szCs w:val="24"/>
        </w:rPr>
        <w:t xml:space="preserve"> на сумму 136,3 тыс. руб.;</w:t>
      </w:r>
    </w:p>
    <w:p w:rsidR="007D0980" w:rsidRDefault="007D0980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D0980">
        <w:rPr>
          <w:rFonts w:ascii="Times New Roman" w:hAnsi="Times New Roman" w:cs="Times New Roman"/>
          <w:sz w:val="24"/>
          <w:szCs w:val="24"/>
        </w:rPr>
        <w:t>ыполнение комплекса кадастровых работ с целью осуществления государственного кадастрового учета земельных участков под многоквартирными домами на территории МО "Советское городское поселение" Выборгского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на сумму 327,9 тыс. руб.</w:t>
      </w:r>
      <w:r w:rsidR="00FC1A69">
        <w:rPr>
          <w:rFonts w:ascii="Times New Roman" w:hAnsi="Times New Roman" w:cs="Times New Roman"/>
          <w:sz w:val="24"/>
          <w:szCs w:val="24"/>
        </w:rPr>
        <w:t>, по данному мероприятию экономия по результатам аукциона составила 84,8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980" w:rsidRDefault="007D0980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D0980">
        <w:rPr>
          <w:rFonts w:ascii="Times New Roman" w:hAnsi="Times New Roman" w:cs="Times New Roman"/>
          <w:sz w:val="24"/>
          <w:szCs w:val="24"/>
        </w:rPr>
        <w:t>азработка проекта организации работ по сносу объекта капитального строительства – многоквартирный жилой дом, расположенный по адресу: Ленинградская область, Выборгский район, п. Дятлово, ул. Героев Танкистов, д. 9</w:t>
      </w:r>
      <w:r>
        <w:rPr>
          <w:rFonts w:ascii="Times New Roman" w:hAnsi="Times New Roman" w:cs="Times New Roman"/>
          <w:sz w:val="24"/>
          <w:szCs w:val="24"/>
        </w:rPr>
        <w:t xml:space="preserve"> на сумму 75,6 тыс. руб.;</w:t>
      </w:r>
    </w:p>
    <w:p w:rsidR="007D0980" w:rsidRDefault="007D0980" w:rsidP="00DF1D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D0980">
        <w:rPr>
          <w:rFonts w:ascii="Times New Roman" w:hAnsi="Times New Roman" w:cs="Times New Roman"/>
          <w:sz w:val="24"/>
          <w:szCs w:val="24"/>
        </w:rPr>
        <w:t>озмещение затрат по оплате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на сумму 804,2 тыс. руб.</w:t>
      </w:r>
    </w:p>
    <w:p w:rsidR="00933031" w:rsidRPr="00C1392B" w:rsidRDefault="00933031" w:rsidP="009330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031">
        <w:rPr>
          <w:rFonts w:ascii="Times New Roman" w:hAnsi="Times New Roman" w:cs="Times New Roman"/>
          <w:sz w:val="24"/>
          <w:szCs w:val="24"/>
        </w:rPr>
        <w:t xml:space="preserve">- исключение приватизированного фонда из реестра муниципального жилищного фонда по оплате взносов в НО «Фонд капитального ремонта многоквартирных домов Ленинградской области» </w:t>
      </w:r>
      <w:r w:rsidRPr="00C1392B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C1392B" w:rsidRPr="00C1392B">
        <w:rPr>
          <w:rFonts w:ascii="Times New Roman" w:hAnsi="Times New Roman" w:cs="Times New Roman"/>
          <w:sz w:val="24"/>
          <w:szCs w:val="24"/>
        </w:rPr>
        <w:t>40</w:t>
      </w:r>
      <w:r w:rsidRPr="00C1392B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024B23" w:rsidRPr="00C1392B">
        <w:rPr>
          <w:rFonts w:ascii="Times New Roman" w:hAnsi="Times New Roman" w:cs="Times New Roman"/>
          <w:sz w:val="24"/>
          <w:szCs w:val="24"/>
        </w:rPr>
        <w:t>.</w:t>
      </w:r>
    </w:p>
    <w:p w:rsidR="00024B23" w:rsidRPr="00024B23" w:rsidRDefault="00024B23" w:rsidP="00024B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23">
        <w:rPr>
          <w:rFonts w:ascii="Times New Roman" w:hAnsi="Times New Roman" w:cs="Times New Roman"/>
          <w:sz w:val="24"/>
          <w:szCs w:val="24"/>
        </w:rPr>
        <w:t>Внесены изменения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B23">
        <w:rPr>
          <w:rFonts w:ascii="Times New Roman" w:hAnsi="Times New Roman" w:cs="Times New Roman"/>
          <w:sz w:val="24"/>
          <w:szCs w:val="24"/>
        </w:rPr>
        <w:t>«Обеспечение качественным жильем граждан на территории МО «Советское городское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: Постановления №40 от 03.03.2023г., №59 от 22.03.2023 г., №237 от 20.09.2023г., №298 от 22.11.2023г. «О внесении изменений в постановление администрации МО «Советское городское поселение» №314 от 26.12.2022 г. «Обеспечение качественным жильем граждан на территории МО «Советское городское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2023-2025 года».</w:t>
      </w:r>
    </w:p>
    <w:p w:rsidR="001C6F8C" w:rsidRPr="002B7BF8" w:rsidRDefault="001C6F8C" w:rsidP="001C6F8C">
      <w:pPr>
        <w:jc w:val="both"/>
      </w:pPr>
    </w:p>
    <w:p w:rsidR="0095677D" w:rsidRPr="002B7BF8" w:rsidRDefault="00FD3145" w:rsidP="006C127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2B7BF8">
        <w:rPr>
          <w:b/>
        </w:rPr>
        <w:t>Факторы, влияющие на ход реализации муниципальной программы.</w:t>
      </w:r>
    </w:p>
    <w:p w:rsidR="00FD3145" w:rsidRPr="009E3C84" w:rsidRDefault="005B50A9" w:rsidP="006C127C">
      <w:pPr>
        <w:widowControl w:val="0"/>
        <w:autoSpaceDE w:val="0"/>
        <w:autoSpaceDN w:val="0"/>
        <w:adjustRightInd w:val="0"/>
        <w:jc w:val="both"/>
      </w:pPr>
      <w:r w:rsidRPr="002B7BF8">
        <w:t xml:space="preserve">           </w:t>
      </w:r>
      <w:r w:rsidR="00FD3145" w:rsidRPr="002B7BF8">
        <w:t>При выполнении мероприятий программы, для  достижения запланированных результатов,</w:t>
      </w:r>
      <w:r w:rsidR="00FD3145" w:rsidRPr="009E3C84">
        <w:t xml:space="preserve"> необходимыми факторами являлись:</w:t>
      </w:r>
    </w:p>
    <w:p w:rsidR="00FD3145" w:rsidRPr="009E3C84" w:rsidRDefault="00FD3145" w:rsidP="006C127C">
      <w:pPr>
        <w:widowControl w:val="0"/>
        <w:autoSpaceDE w:val="0"/>
        <w:autoSpaceDN w:val="0"/>
        <w:adjustRightInd w:val="0"/>
        <w:jc w:val="both"/>
      </w:pPr>
      <w:r w:rsidRPr="009E3C84">
        <w:t>- своев</w:t>
      </w:r>
      <w:r w:rsidR="006C127C">
        <w:t>ременное финансовое обеспечение;</w:t>
      </w:r>
    </w:p>
    <w:p w:rsidR="00FD3145" w:rsidRPr="009E3C84" w:rsidRDefault="00FD3145" w:rsidP="006C127C">
      <w:pPr>
        <w:widowControl w:val="0"/>
        <w:autoSpaceDE w:val="0"/>
        <w:autoSpaceDN w:val="0"/>
        <w:adjustRightInd w:val="0"/>
        <w:jc w:val="both"/>
      </w:pPr>
      <w:r w:rsidRPr="009E3C84">
        <w:t xml:space="preserve">- эффективное взаимодействие </w:t>
      </w:r>
      <w:r w:rsidR="006C127C">
        <w:t>участников реализации программы;</w:t>
      </w:r>
    </w:p>
    <w:p w:rsidR="00626574" w:rsidRPr="009E3C84" w:rsidRDefault="00FD3145" w:rsidP="006C127C">
      <w:pPr>
        <w:widowControl w:val="0"/>
        <w:autoSpaceDE w:val="0"/>
        <w:autoSpaceDN w:val="0"/>
        <w:adjustRightInd w:val="0"/>
        <w:jc w:val="both"/>
      </w:pPr>
      <w:r w:rsidRPr="009E3C84">
        <w:t>- открытость и гласность выполнения мероприятий программы.</w:t>
      </w:r>
    </w:p>
    <w:p w:rsidR="0095677D" w:rsidRPr="009E3C84" w:rsidRDefault="0095677D" w:rsidP="006C127C">
      <w:pPr>
        <w:widowControl w:val="0"/>
        <w:autoSpaceDE w:val="0"/>
        <w:autoSpaceDN w:val="0"/>
        <w:adjustRightInd w:val="0"/>
        <w:jc w:val="both"/>
      </w:pPr>
    </w:p>
    <w:p w:rsidR="0095677D" w:rsidRPr="009E3C84" w:rsidRDefault="0095677D" w:rsidP="006C127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D3145" w:rsidRPr="009E3C84" w:rsidRDefault="00220C41" w:rsidP="006C127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C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D3145" w:rsidRPr="009E3C84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FD3145" w:rsidRPr="009E3C84" w:rsidRDefault="00FD3145" w:rsidP="006C12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C84">
        <w:rPr>
          <w:rFonts w:ascii="Times New Roman" w:hAnsi="Times New Roman" w:cs="Times New Roman"/>
          <w:sz w:val="24"/>
          <w:szCs w:val="24"/>
        </w:rPr>
        <w:t>- оценки степени достижения целей, по формуле:</w:t>
      </w:r>
    </w:p>
    <w:p w:rsidR="0095677D" w:rsidRPr="009E3C84" w:rsidRDefault="0095677D" w:rsidP="006C12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4CC" w:rsidRPr="009E3C84" w:rsidRDefault="00D1603B" w:rsidP="006C127C">
      <w:pPr>
        <w:ind w:firstLine="698"/>
        <w:jc w:val="both"/>
      </w:pPr>
      <w:r>
        <w:rPr>
          <w:noProof/>
        </w:rPr>
      </w:r>
      <w:r>
        <w:rPr>
          <w:noProof/>
        </w:rPr>
        <w:pict>
          <v:group id="Полотно 31" o:spid="_x0000_s1026" editas="canvas" style="width:129.75pt;height:40.1pt;mso-position-horizontal-relative:char;mso-position-vertical-relative:line" coordsize="16478,5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478;height:5092;visibility:visible;mso-wrap-style:square">
              <v:fill o:detectmouseclick="t"/>
              <v:path o:connecttype="none"/>
            </v:shape>
            <v:rect id="Rectangle 18" o:spid="_x0000_s1028" style="position:absolute;width:1609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<v:rect id="Rectangle 19" o:spid="_x0000_s1029" style="position:absolute;left:127;top:127;width:1441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next-textbox:#Rectangle 19;mso-fit-shape-to-text:t" inset="0,0,0,0">
                <w:txbxContent>
                  <w:p w:rsidR="006A2B8A" w:rsidRPr="0095677D" w:rsidRDefault="006A2B8A" w:rsidP="00FD3145">
                    <w:r w:rsidRPr="0095677D">
                      <w:rPr>
                        <w:sz w:val="34"/>
                        <w:szCs w:val="34"/>
                        <w:lang w:val="en-US"/>
                      </w:rPr>
                      <w:t>С</w:t>
                    </w:r>
                  </w:p>
                </w:txbxContent>
              </v:textbox>
            </v:rect>
            <v:rect id="Rectangle 20" o:spid="_x0000_s1030" style="position:absolute;left:1524;top:1130;width:78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next-textbox:#Rectangle 20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д</w:t>
                    </w:r>
                    <w:proofErr w:type="gramEnd"/>
                  </w:p>
                </w:txbxContent>
              </v:textbox>
            </v:rect>
            <v:rect id="Rectangle 21" o:spid="_x0000_s1031" style="position:absolute;left:2533;top:127;width:1219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next-textbox:#Rectangle 21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2" o:spid="_x0000_s1032" style="position:absolute;left:4057;top:127;width:1086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next-textbox:#Rectangle 22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3" o:spid="_x0000_s1033" style="position:absolute;left:5194;top:1130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next-textbox:#Rectangle 23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Rectangle 24" o:spid="_x0000_s1034" style="position:absolute;left:6464;top:127;width:603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next-textbox:#Rectangle 24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25" o:spid="_x0000_s1035" style="position:absolute;left:7353;top:127;width:1086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next-textbox:#Rectangle 25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6" o:spid="_x0000_s1036" style="position:absolute;left:8489;top:1130;width:82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next-textbox:#Rectangle 26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Rectangle 27" o:spid="_x0000_s1037" style="position:absolute;left:9251;top:127;width:1086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next-textbox:#Rectangle 27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28" o:spid="_x0000_s1038" style="position:absolute;left:10394;top:127;width:3245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next-textbox:#Rectangle 28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Rectangle 29" o:spid="_x0000_s1039" style="position:absolute;left:13817;top:127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next-textbox:#Rectangle 29;mso-fit-shape-to-text:t" inset="0,0,0,0">
                <w:txbxContent>
                  <w:p w:rsidR="006A2B8A" w:rsidRDefault="006A2B8A" w:rsidP="00FD3145"/>
                </w:txbxContent>
              </v:textbox>
            </v:rect>
            <w10:wrap type="none"/>
            <w10:anchorlock/>
          </v:group>
        </w:pict>
      </w:r>
    </w:p>
    <w:p w:rsidR="00FD3145" w:rsidRPr="009E3C84" w:rsidRDefault="00FD3145" w:rsidP="006C127C">
      <w:pPr>
        <w:ind w:firstLine="698"/>
        <w:jc w:val="both"/>
      </w:pPr>
      <w:r w:rsidRPr="009E3C84">
        <w:t>где:</w:t>
      </w:r>
    </w:p>
    <w:p w:rsidR="00FD3145" w:rsidRPr="009E3C84" w:rsidRDefault="00FD3145" w:rsidP="006C127C">
      <w:pPr>
        <w:ind w:firstLine="698"/>
        <w:jc w:val="both"/>
      </w:pPr>
      <w:r w:rsidRPr="009E3C84">
        <w:rPr>
          <w:sz w:val="32"/>
          <w:szCs w:val="32"/>
        </w:rPr>
        <w:t>С</w:t>
      </w:r>
      <w:r w:rsidRPr="009E3C84">
        <w:rPr>
          <w:sz w:val="32"/>
          <w:szCs w:val="32"/>
          <w:vertAlign w:val="subscript"/>
        </w:rPr>
        <w:t xml:space="preserve"> Д - </w:t>
      </w:r>
      <w:r w:rsidRPr="009E3C84">
        <w:t>степень достижения целей (решения задач);</w:t>
      </w:r>
    </w:p>
    <w:p w:rsidR="00FD3145" w:rsidRPr="009E3C84" w:rsidRDefault="00FD3145" w:rsidP="006C127C">
      <w:pPr>
        <w:ind w:firstLine="698"/>
        <w:jc w:val="both"/>
      </w:pPr>
      <w:r w:rsidRPr="009E3C84">
        <w:rPr>
          <w:noProof/>
        </w:rPr>
        <w:drawing>
          <wp:inline distT="0" distB="0" distL="0" distR="0">
            <wp:extent cx="276225" cy="314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4">
        <w:t xml:space="preserve"> - фактическое значение индикатора (показателя) муниципальной программы;</w:t>
      </w:r>
    </w:p>
    <w:p w:rsidR="00FD3145" w:rsidRPr="009E3C84" w:rsidRDefault="00FD3145" w:rsidP="006C127C">
      <w:pPr>
        <w:widowControl w:val="0"/>
        <w:autoSpaceDE w:val="0"/>
        <w:autoSpaceDN w:val="0"/>
        <w:adjustRightInd w:val="0"/>
        <w:ind w:firstLine="698"/>
        <w:jc w:val="both"/>
      </w:pPr>
      <w:r w:rsidRPr="009E3C84">
        <w:rPr>
          <w:noProof/>
        </w:rPr>
        <w:lastRenderedPageBreak/>
        <w:drawing>
          <wp:inline distT="0" distB="0" distL="0" distR="0">
            <wp:extent cx="257175" cy="314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4">
        <w:t xml:space="preserve"> - плановое значение индикатора (показателя) муниципальной программы </w:t>
      </w:r>
    </w:p>
    <w:p w:rsidR="00FD3145" w:rsidRPr="009E3C84" w:rsidRDefault="00FD3145" w:rsidP="006C127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1D7A" w:rsidRDefault="00220C41" w:rsidP="00DF1D7A">
      <w:pPr>
        <w:jc w:val="both"/>
      </w:pPr>
      <w:r w:rsidRPr="009E3C84">
        <w:t>Уровень эффективности по оценке степени достижения целей к годовому перечню мероприятий:</w:t>
      </w:r>
    </w:p>
    <w:p w:rsidR="00BC1604" w:rsidRPr="00DF1D7A" w:rsidRDefault="00DF1D7A" w:rsidP="00DF1D7A">
      <w:pPr>
        <w:ind w:firstLine="708"/>
        <w:jc w:val="both"/>
      </w:pPr>
      <w:r>
        <w:t xml:space="preserve">1. </w:t>
      </w:r>
      <w:r w:rsidR="00BC1604" w:rsidRPr="009E3C84">
        <w:rPr>
          <w:iCs/>
        </w:rPr>
        <w:t>По целевому показателю «</w:t>
      </w:r>
      <w:r w:rsidR="00BC1604" w:rsidRPr="009E3C84">
        <w:t xml:space="preserve">Оплата взносов по капитальному ремонту» </w:t>
      </w:r>
    </w:p>
    <w:p w:rsidR="00BC1604" w:rsidRPr="009E3C84" w:rsidRDefault="00BC1604" w:rsidP="00BC1604">
      <w:pPr>
        <w:pStyle w:val="ConsPlusNonformat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1D7A" w:rsidRDefault="00BC1604" w:rsidP="00DF1D7A">
      <w:pPr>
        <w:jc w:val="both"/>
        <w:rPr>
          <w:b/>
        </w:rPr>
      </w:pPr>
      <w:r>
        <w:t xml:space="preserve">           </w:t>
      </w:r>
      <w:r w:rsidR="00A1789F">
        <w:rPr>
          <w:b/>
          <w:bCs/>
        </w:rPr>
        <w:t xml:space="preserve"> </w:t>
      </w:r>
      <w:r w:rsidR="00E062E3">
        <w:rPr>
          <w:b/>
          <w:bCs/>
        </w:rPr>
        <w:t>2004,7</w:t>
      </w:r>
      <w:r w:rsidRPr="00952867">
        <w:rPr>
          <w:b/>
        </w:rPr>
        <w:t>/</w:t>
      </w:r>
      <w:r w:rsidR="00E062E3">
        <w:rPr>
          <w:b/>
          <w:bCs/>
        </w:rPr>
        <w:t>2174,2</w:t>
      </w:r>
      <w:r w:rsidRPr="00952867">
        <w:rPr>
          <w:b/>
        </w:rPr>
        <w:t>*100=</w:t>
      </w:r>
      <w:r w:rsidR="00E062E3">
        <w:rPr>
          <w:b/>
        </w:rPr>
        <w:t>92,2</w:t>
      </w:r>
      <w:r w:rsidRPr="00952867">
        <w:rPr>
          <w:b/>
        </w:rPr>
        <w:t>%</w:t>
      </w:r>
    </w:p>
    <w:p w:rsidR="00DF1D7A" w:rsidRDefault="00625DC5" w:rsidP="00DF1D7A">
      <w:pPr>
        <w:jc w:val="both"/>
        <w:rPr>
          <w:b/>
        </w:rPr>
      </w:pPr>
      <w:r w:rsidRPr="00625DC5">
        <w:t>План по показателю не выполнен ввиду исключения приватизированного фонда из реестра</w:t>
      </w:r>
      <w:r w:rsidRPr="00933031">
        <w:t xml:space="preserve"> муниципального жилищного фонда по оплате взносов в НО «Фонд капитального ремонта многоквартирных домов Ленинградской области» </w:t>
      </w:r>
      <w:r w:rsidRPr="00C1392B">
        <w:t>в количестве 40 квартир</w:t>
      </w:r>
      <w:r>
        <w:t xml:space="preserve"> за отчетный период.</w:t>
      </w:r>
    </w:p>
    <w:p w:rsidR="00625DC5" w:rsidRDefault="00625DC5" w:rsidP="00BC1604">
      <w:pPr>
        <w:jc w:val="both"/>
      </w:pPr>
    </w:p>
    <w:p w:rsidR="00BC1604" w:rsidRPr="00A01877" w:rsidRDefault="00BC1604" w:rsidP="00BC1604">
      <w:pPr>
        <w:jc w:val="both"/>
      </w:pPr>
      <w:r w:rsidRPr="009E3C84">
        <w:t>Уровень эффективности по оценке степени достижения целей к годовому перечню мероприятий:</w:t>
      </w:r>
    </w:p>
    <w:p w:rsidR="00796A5E" w:rsidRDefault="00796A5E" w:rsidP="006C127C">
      <w:pPr>
        <w:jc w:val="both"/>
      </w:pPr>
    </w:p>
    <w:p w:rsidR="00796A5E" w:rsidRPr="009E3C84" w:rsidRDefault="00220C41" w:rsidP="00DF1D7A">
      <w:pPr>
        <w:jc w:val="center"/>
        <w:rPr>
          <w:b/>
        </w:rPr>
      </w:pPr>
      <w:r w:rsidRPr="009E3C84">
        <w:rPr>
          <w:b/>
        </w:rPr>
        <w:t>О</w:t>
      </w:r>
      <w:r w:rsidR="00FD3145" w:rsidRPr="009E3C84">
        <w:rPr>
          <w:b/>
        </w:rPr>
        <w:t>ценки эффективности использования средств местного бюджета, по формуле:</w:t>
      </w:r>
    </w:p>
    <w:p w:rsidR="00796A5E" w:rsidRPr="009E3C84" w:rsidRDefault="00796A5E" w:rsidP="006C127C">
      <w:pPr>
        <w:jc w:val="both"/>
        <w:rPr>
          <w:b/>
        </w:rPr>
      </w:pPr>
    </w:p>
    <w:p w:rsidR="00FD3145" w:rsidRPr="009E3C84" w:rsidRDefault="00D1603B" w:rsidP="006C127C">
      <w:pPr>
        <w:ind w:firstLine="698"/>
        <w:jc w:val="both"/>
      </w:pPr>
      <w:r>
        <w:rPr>
          <w:noProof/>
        </w:rPr>
      </w:r>
      <w:r>
        <w:rPr>
          <w:noProof/>
        </w:rPr>
        <w:pict>
          <v:group id="Полотно 18" o:spid="_x0000_s1040" editas="canvas" style="width:141pt;height:40.1pt;mso-position-horizontal-relative:char;mso-position-vertical-relative:line" coordsize="17907,5092">
            <v:shape id="_x0000_s1041" type="#_x0000_t75" style="position:absolute;width:17907;height:5092;visibility:visible;mso-wrap-style:square">
              <v:fill o:detectmouseclick="t"/>
              <v:path o:connecttype="none"/>
            </v:shape>
            <v:rect id="Rectangle 4" o:spid="_x0000_s1042" style="position:absolute;width:1752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Rectangle 5" o:spid="_x0000_s1043" style="position:absolute;left:127;top:127;width:1530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next-textbox:#Rectangle 5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У</w:t>
                    </w:r>
                  </w:p>
                </w:txbxContent>
              </v:textbox>
            </v:rect>
            <v:rect id="Rectangle 6" o:spid="_x0000_s1044" style="position:absolute;left:1651;top:1130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next-textbox:#Rectangle 6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Rectangle 7" o:spid="_x0000_s1045" style="position:absolute;left:2921;top:127;width:1219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next-textbox:#Rectangle 7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46" style="position:absolute;left:4445;top:127;width:1708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next-textbox:#Rectangle 8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9" o:spid="_x0000_s1047" style="position:absolute;left:6096;top:1130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next-textbox:#Rectangle 9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Rectangle 10" o:spid="_x0000_s1048" style="position:absolute;left:7366;top:127;width:603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next-textbox:#Rectangle 10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/</w:t>
                    </w:r>
                  </w:p>
                </w:txbxContent>
              </v:textbox>
            </v:rect>
            <v:rect id="Rectangle 11" o:spid="_x0000_s1049" style="position:absolute;left:8255;top:127;width:1708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next-textbox:#Rectangle 11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2" o:spid="_x0000_s1050" style="position:absolute;left:9906;top:1130;width:81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next-textbox:#Rectangle 12;mso-fit-shape-to-text:t" inset="0,0,0,0">
                <w:txbxContent>
                  <w:p w:rsidR="006A2B8A" w:rsidRDefault="006A2B8A" w:rsidP="00FD3145">
                    <w:proofErr w:type="gramStart"/>
                    <w:r>
                      <w:rPr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Rectangle 13" o:spid="_x0000_s1051" style="position:absolute;left:10668;top:127;width:1085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next-textbox:#Rectangle 13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*</w:t>
                    </w:r>
                  </w:p>
                </w:txbxContent>
              </v:textbox>
            </v:rect>
            <v:rect id="Rectangle 14" o:spid="_x0000_s1052" style="position:absolute;left:11811;top:127;width:3244;height:24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next-textbox:#Rectangle 14;mso-fit-shape-to-text:t" inset="0,0,0,0">
                <w:txbxContent>
                  <w:p w:rsidR="006A2B8A" w:rsidRDefault="006A2B8A" w:rsidP="00FD3145">
                    <w:r>
                      <w:rPr>
                        <w:sz w:val="34"/>
                        <w:szCs w:val="34"/>
                        <w:lang w:val="en-US"/>
                      </w:rPr>
                      <w:t>100</w:t>
                    </w:r>
                  </w:p>
                </w:txbxContent>
              </v:textbox>
            </v:rect>
            <v:rect id="Rectangle 15" o:spid="_x0000_s1053" style="position:absolute;left:15240;top:127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next-textbox:#Rectangle 15;mso-fit-shape-to-text:t" inset="0,0,0,0">
                <w:txbxContent>
                  <w:p w:rsidR="006A2B8A" w:rsidRDefault="006A2B8A" w:rsidP="00FD3145"/>
                </w:txbxContent>
              </v:textbox>
            </v:rect>
            <w10:wrap type="none"/>
            <w10:anchorlock/>
          </v:group>
        </w:pict>
      </w:r>
      <w:r w:rsidR="00FD3145" w:rsidRPr="009E3C84">
        <w:t>где:</w:t>
      </w:r>
    </w:p>
    <w:p w:rsidR="00FD3145" w:rsidRPr="009E3C84" w:rsidRDefault="00FD3145" w:rsidP="006C127C">
      <w:pPr>
        <w:ind w:firstLine="720"/>
        <w:jc w:val="both"/>
      </w:pPr>
      <w:r w:rsidRPr="009E3C84">
        <w:rPr>
          <w:noProof/>
        </w:rPr>
        <w:drawing>
          <wp:inline distT="0" distB="0" distL="0" distR="0">
            <wp:extent cx="3143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4">
        <w:t xml:space="preserve"> - уровень финансирования реализации основных мероприятий муниципальной программы;</w:t>
      </w:r>
    </w:p>
    <w:p w:rsidR="00FD3145" w:rsidRPr="009E3C84" w:rsidRDefault="00FD3145" w:rsidP="006C127C">
      <w:pPr>
        <w:ind w:firstLine="720"/>
        <w:jc w:val="both"/>
      </w:pPr>
      <w:r w:rsidRPr="009E3C84">
        <w:rPr>
          <w:noProof/>
        </w:rPr>
        <w:drawing>
          <wp:inline distT="0" distB="0" distL="0" distR="0">
            <wp:extent cx="33337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4"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FD3145" w:rsidRPr="009E3C84" w:rsidRDefault="00FD3145" w:rsidP="006C127C">
      <w:pPr>
        <w:ind w:firstLine="720"/>
        <w:jc w:val="both"/>
      </w:pPr>
      <w:r w:rsidRPr="009E3C84">
        <w:rPr>
          <w:noProof/>
        </w:rPr>
        <w:drawing>
          <wp:inline distT="0" distB="0" distL="0" distR="0">
            <wp:extent cx="30480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C84">
        <w:t xml:space="preserve"> - плановый объем финансовых ресурсов на реализацию муниципальной программы на соответствующий отчетный период</w:t>
      </w:r>
    </w:p>
    <w:p w:rsidR="00FD3145" w:rsidRPr="009E3C84" w:rsidRDefault="00FD3145" w:rsidP="006C127C">
      <w:pPr>
        <w:jc w:val="both"/>
      </w:pPr>
    </w:p>
    <w:p w:rsidR="00796A5E" w:rsidRPr="00996497" w:rsidRDefault="00BC58C1" w:rsidP="006C127C">
      <w:pPr>
        <w:jc w:val="both"/>
        <w:rPr>
          <w:b/>
        </w:rPr>
      </w:pPr>
      <w:r w:rsidRPr="00996497">
        <w:rPr>
          <w:b/>
        </w:rPr>
        <w:t>Уф=</w:t>
      </w:r>
      <w:r w:rsidR="00E062E3">
        <w:rPr>
          <w:b/>
        </w:rPr>
        <w:t>3</w:t>
      </w:r>
      <w:r w:rsidR="00FC1A69">
        <w:rPr>
          <w:b/>
        </w:rPr>
        <w:t xml:space="preserve"> </w:t>
      </w:r>
      <w:r w:rsidR="00E062E3">
        <w:rPr>
          <w:b/>
        </w:rPr>
        <w:t>348,7</w:t>
      </w:r>
      <w:r w:rsidR="00996497" w:rsidRPr="00996497">
        <w:rPr>
          <w:b/>
        </w:rPr>
        <w:t xml:space="preserve"> </w:t>
      </w:r>
      <w:r w:rsidRPr="00996497">
        <w:rPr>
          <w:b/>
        </w:rPr>
        <w:t>/</w:t>
      </w:r>
      <w:r w:rsidR="00E062E3">
        <w:rPr>
          <w:b/>
        </w:rPr>
        <w:t>3</w:t>
      </w:r>
      <w:r w:rsidR="00FC1A69">
        <w:rPr>
          <w:b/>
        </w:rPr>
        <w:t xml:space="preserve"> </w:t>
      </w:r>
      <w:r w:rsidR="00E062E3">
        <w:rPr>
          <w:b/>
        </w:rPr>
        <w:t>603,0</w:t>
      </w:r>
      <w:r w:rsidR="00A1789F" w:rsidRPr="00996497">
        <w:rPr>
          <w:b/>
        </w:rPr>
        <w:t xml:space="preserve"> </w:t>
      </w:r>
      <w:r w:rsidRPr="00996497">
        <w:rPr>
          <w:b/>
        </w:rPr>
        <w:t>*100%=</w:t>
      </w:r>
      <w:r w:rsidR="00E062E3">
        <w:rPr>
          <w:b/>
        </w:rPr>
        <w:t>92,9</w:t>
      </w:r>
      <w:r w:rsidRPr="00996497">
        <w:rPr>
          <w:b/>
        </w:rPr>
        <w:t xml:space="preserve"> % к годовому плану</w:t>
      </w:r>
    </w:p>
    <w:p w:rsidR="006C127C" w:rsidRPr="00996497" w:rsidRDefault="00796A5E" w:rsidP="006C127C">
      <w:pPr>
        <w:jc w:val="both"/>
        <w:rPr>
          <w:b/>
        </w:rPr>
      </w:pPr>
      <w:r w:rsidRPr="00996497">
        <w:rPr>
          <w:b/>
        </w:rPr>
        <w:t xml:space="preserve">            </w:t>
      </w:r>
    </w:p>
    <w:p w:rsidR="00DF1D7A" w:rsidRPr="009E3C84" w:rsidRDefault="00DF1D7A" w:rsidP="00DF1D7A">
      <w:pPr>
        <w:jc w:val="both"/>
        <w:rPr>
          <w:b/>
        </w:rPr>
      </w:pPr>
      <w:r w:rsidRPr="009E3C84">
        <w:rPr>
          <w:b/>
        </w:rPr>
        <w:t xml:space="preserve">             Вывод:</w:t>
      </w:r>
    </w:p>
    <w:p w:rsidR="00DF1D7A" w:rsidRPr="00FC1A69" w:rsidRDefault="00DF1D7A" w:rsidP="00DF1D7A">
      <w:pPr>
        <w:jc w:val="both"/>
      </w:pPr>
      <w:r w:rsidRPr="009E3C84">
        <w:t xml:space="preserve">- по оценке степени достижения целей уровень эффективности реализации муниципальной программы </w:t>
      </w:r>
      <w:r w:rsidRPr="00FC1A69">
        <w:t xml:space="preserve">признается </w:t>
      </w:r>
      <w:r w:rsidR="00FC1A69" w:rsidRPr="00FC1A69">
        <w:t>высоким</w:t>
      </w:r>
      <w:r w:rsidRPr="00FC1A69">
        <w:t>;</w:t>
      </w:r>
    </w:p>
    <w:p w:rsidR="00DF1D7A" w:rsidRPr="009E3C84" w:rsidRDefault="00DF1D7A" w:rsidP="00DF1D7A">
      <w:pPr>
        <w:jc w:val="both"/>
      </w:pPr>
      <w:r w:rsidRPr="009E3C84">
        <w:t>-  по оценке эффективности использования средств местного бюджета уровень эффективности реализации муниципальной программы признается</w:t>
      </w:r>
      <w:r>
        <w:t xml:space="preserve"> </w:t>
      </w:r>
      <w:r w:rsidR="00FC1A69" w:rsidRPr="00FC1A69">
        <w:t>высоким</w:t>
      </w:r>
      <w:r w:rsidRPr="00FC1A69">
        <w:t>.</w:t>
      </w:r>
      <w:r>
        <w:t xml:space="preserve"> </w:t>
      </w:r>
      <w:r w:rsidR="00625DC5">
        <w:t xml:space="preserve">В целом </w:t>
      </w:r>
      <w:r w:rsidR="00625DC5" w:rsidRPr="009E3C84">
        <w:t>уровень эффективности реализации муниципальной программы признается</w:t>
      </w:r>
      <w:r w:rsidR="00625DC5">
        <w:t xml:space="preserve"> высоким.</w:t>
      </w:r>
    </w:p>
    <w:p w:rsidR="00935221" w:rsidRPr="009E3C84" w:rsidRDefault="00935221" w:rsidP="00DF1D7A">
      <w:pPr>
        <w:jc w:val="both"/>
      </w:pPr>
      <w:bookmarkStart w:id="0" w:name="_GoBack"/>
      <w:bookmarkEnd w:id="0"/>
    </w:p>
    <w:sectPr w:rsidR="00935221" w:rsidRPr="009E3C84" w:rsidSect="00DF1D7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E06"/>
    <w:multiLevelType w:val="hybridMultilevel"/>
    <w:tmpl w:val="AE686CCE"/>
    <w:lvl w:ilvl="0" w:tplc="A2A29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3184"/>
    <w:multiLevelType w:val="hybridMultilevel"/>
    <w:tmpl w:val="5E7C4364"/>
    <w:lvl w:ilvl="0" w:tplc="D0086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BD95B7E"/>
    <w:multiLevelType w:val="hybridMultilevel"/>
    <w:tmpl w:val="29089712"/>
    <w:lvl w:ilvl="0" w:tplc="3ABA78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AD7720"/>
    <w:multiLevelType w:val="hybridMultilevel"/>
    <w:tmpl w:val="AE686CCE"/>
    <w:lvl w:ilvl="0" w:tplc="A2A29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0B46"/>
    <w:rsid w:val="00016BF8"/>
    <w:rsid w:val="00024B23"/>
    <w:rsid w:val="0004483D"/>
    <w:rsid w:val="000645C9"/>
    <w:rsid w:val="000A363C"/>
    <w:rsid w:val="000E4F51"/>
    <w:rsid w:val="00120B46"/>
    <w:rsid w:val="001266F4"/>
    <w:rsid w:val="00143A15"/>
    <w:rsid w:val="00154CDF"/>
    <w:rsid w:val="00165DEE"/>
    <w:rsid w:val="0017721E"/>
    <w:rsid w:val="001813A5"/>
    <w:rsid w:val="001B6939"/>
    <w:rsid w:val="001C0FFD"/>
    <w:rsid w:val="001C6F8C"/>
    <w:rsid w:val="001F5DBA"/>
    <w:rsid w:val="00211390"/>
    <w:rsid w:val="002126C4"/>
    <w:rsid w:val="0021298B"/>
    <w:rsid w:val="002157AD"/>
    <w:rsid w:val="00220C41"/>
    <w:rsid w:val="002216A9"/>
    <w:rsid w:val="002359FF"/>
    <w:rsid w:val="0025008C"/>
    <w:rsid w:val="002620DB"/>
    <w:rsid w:val="0026459B"/>
    <w:rsid w:val="002A3843"/>
    <w:rsid w:val="002B7BF8"/>
    <w:rsid w:val="002E0A56"/>
    <w:rsid w:val="002F085D"/>
    <w:rsid w:val="00317B51"/>
    <w:rsid w:val="00352C4B"/>
    <w:rsid w:val="00384C52"/>
    <w:rsid w:val="00395E8A"/>
    <w:rsid w:val="003B2460"/>
    <w:rsid w:val="003B5E03"/>
    <w:rsid w:val="003B759E"/>
    <w:rsid w:val="003C490F"/>
    <w:rsid w:val="003F0FA7"/>
    <w:rsid w:val="00401FB1"/>
    <w:rsid w:val="00407E2F"/>
    <w:rsid w:val="00417379"/>
    <w:rsid w:val="00426003"/>
    <w:rsid w:val="0043211D"/>
    <w:rsid w:val="004412DA"/>
    <w:rsid w:val="00443C9A"/>
    <w:rsid w:val="004468E6"/>
    <w:rsid w:val="00456F2A"/>
    <w:rsid w:val="0048220D"/>
    <w:rsid w:val="00484AEB"/>
    <w:rsid w:val="004C3545"/>
    <w:rsid w:val="004E0A16"/>
    <w:rsid w:val="004E2849"/>
    <w:rsid w:val="004E3F85"/>
    <w:rsid w:val="004E6616"/>
    <w:rsid w:val="00502D73"/>
    <w:rsid w:val="00524E27"/>
    <w:rsid w:val="00530271"/>
    <w:rsid w:val="00536D0E"/>
    <w:rsid w:val="005A2191"/>
    <w:rsid w:val="005A3B58"/>
    <w:rsid w:val="005A66C6"/>
    <w:rsid w:val="005B50A9"/>
    <w:rsid w:val="005E3660"/>
    <w:rsid w:val="006007F9"/>
    <w:rsid w:val="006138C2"/>
    <w:rsid w:val="00625DC5"/>
    <w:rsid w:val="00626574"/>
    <w:rsid w:val="00636B19"/>
    <w:rsid w:val="00670AC1"/>
    <w:rsid w:val="00671470"/>
    <w:rsid w:val="00672A7B"/>
    <w:rsid w:val="00680F3B"/>
    <w:rsid w:val="00685F69"/>
    <w:rsid w:val="006976AB"/>
    <w:rsid w:val="006A2B8A"/>
    <w:rsid w:val="006B0E21"/>
    <w:rsid w:val="006B68F6"/>
    <w:rsid w:val="006C127C"/>
    <w:rsid w:val="006D0983"/>
    <w:rsid w:val="0071429E"/>
    <w:rsid w:val="00733DE2"/>
    <w:rsid w:val="00743F06"/>
    <w:rsid w:val="00770ED4"/>
    <w:rsid w:val="00781E37"/>
    <w:rsid w:val="00786572"/>
    <w:rsid w:val="00795593"/>
    <w:rsid w:val="00796A5E"/>
    <w:rsid w:val="00797313"/>
    <w:rsid w:val="007C72E2"/>
    <w:rsid w:val="007D0980"/>
    <w:rsid w:val="007D5BFB"/>
    <w:rsid w:val="00820ACA"/>
    <w:rsid w:val="00854398"/>
    <w:rsid w:val="00866683"/>
    <w:rsid w:val="008938FE"/>
    <w:rsid w:val="008A08C9"/>
    <w:rsid w:val="008A24CC"/>
    <w:rsid w:val="008A79BF"/>
    <w:rsid w:val="00916BD4"/>
    <w:rsid w:val="0091743B"/>
    <w:rsid w:val="00925D75"/>
    <w:rsid w:val="00933031"/>
    <w:rsid w:val="00935221"/>
    <w:rsid w:val="00945529"/>
    <w:rsid w:val="0095677D"/>
    <w:rsid w:val="00974F3D"/>
    <w:rsid w:val="009928D9"/>
    <w:rsid w:val="00992CCA"/>
    <w:rsid w:val="00996497"/>
    <w:rsid w:val="009D31BB"/>
    <w:rsid w:val="009E1066"/>
    <w:rsid w:val="009E3C84"/>
    <w:rsid w:val="009F432D"/>
    <w:rsid w:val="009F46CD"/>
    <w:rsid w:val="00A1789F"/>
    <w:rsid w:val="00A241BF"/>
    <w:rsid w:val="00A57CB0"/>
    <w:rsid w:val="00A8724F"/>
    <w:rsid w:val="00A95387"/>
    <w:rsid w:val="00A9769B"/>
    <w:rsid w:val="00AA4C30"/>
    <w:rsid w:val="00AC19AB"/>
    <w:rsid w:val="00AC374E"/>
    <w:rsid w:val="00AE190E"/>
    <w:rsid w:val="00AF02CE"/>
    <w:rsid w:val="00AF5C5C"/>
    <w:rsid w:val="00B1394A"/>
    <w:rsid w:val="00B14A3C"/>
    <w:rsid w:val="00B65586"/>
    <w:rsid w:val="00B94EC9"/>
    <w:rsid w:val="00BA724B"/>
    <w:rsid w:val="00BB7116"/>
    <w:rsid w:val="00BC123D"/>
    <w:rsid w:val="00BC1604"/>
    <w:rsid w:val="00BC58C1"/>
    <w:rsid w:val="00C1392B"/>
    <w:rsid w:val="00C318BD"/>
    <w:rsid w:val="00C36C04"/>
    <w:rsid w:val="00C4033E"/>
    <w:rsid w:val="00C77B9E"/>
    <w:rsid w:val="00C85149"/>
    <w:rsid w:val="00D00A1D"/>
    <w:rsid w:val="00D10284"/>
    <w:rsid w:val="00D1603B"/>
    <w:rsid w:val="00D273ED"/>
    <w:rsid w:val="00D27E2D"/>
    <w:rsid w:val="00D40674"/>
    <w:rsid w:val="00D47D18"/>
    <w:rsid w:val="00D57FCA"/>
    <w:rsid w:val="00D60425"/>
    <w:rsid w:val="00D716C5"/>
    <w:rsid w:val="00D82BFF"/>
    <w:rsid w:val="00D921CB"/>
    <w:rsid w:val="00DB6034"/>
    <w:rsid w:val="00DC45F8"/>
    <w:rsid w:val="00DF1D7A"/>
    <w:rsid w:val="00E062E3"/>
    <w:rsid w:val="00E40D8F"/>
    <w:rsid w:val="00E514CF"/>
    <w:rsid w:val="00E63DA6"/>
    <w:rsid w:val="00E72C22"/>
    <w:rsid w:val="00E90AAA"/>
    <w:rsid w:val="00F15256"/>
    <w:rsid w:val="00F467E4"/>
    <w:rsid w:val="00F4781C"/>
    <w:rsid w:val="00F54B07"/>
    <w:rsid w:val="00F5679A"/>
    <w:rsid w:val="00F650AB"/>
    <w:rsid w:val="00F67A87"/>
    <w:rsid w:val="00F71891"/>
    <w:rsid w:val="00F75B9E"/>
    <w:rsid w:val="00F85669"/>
    <w:rsid w:val="00F95822"/>
    <w:rsid w:val="00FB4CEF"/>
    <w:rsid w:val="00FC0C27"/>
    <w:rsid w:val="00FC1A69"/>
    <w:rsid w:val="00FD3145"/>
    <w:rsid w:val="00FF13CD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3145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ConsPlusNonformat">
    <w:name w:val="ConsPlusNonformat"/>
    <w:rsid w:val="00FD3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21CB"/>
    <w:pPr>
      <w:ind w:left="720"/>
      <w:contextualSpacing/>
    </w:pPr>
  </w:style>
  <w:style w:type="table" w:styleId="a6">
    <w:name w:val="Table Grid"/>
    <w:basedOn w:val="a1"/>
    <w:uiPriority w:val="59"/>
    <w:rsid w:val="00BC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3145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customStyle="1" w:styleId="ConsPlusNonformat">
    <w:name w:val="ConsPlusNonformat"/>
    <w:rsid w:val="00FD3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BC95-F4EC-4B65-9A48-6C4C0E64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2024-03-05T08:20:00Z</cp:lastPrinted>
  <dcterms:created xsi:type="dcterms:W3CDTF">2024-03-26T12:38:00Z</dcterms:created>
  <dcterms:modified xsi:type="dcterms:W3CDTF">2024-03-26T12:39:00Z</dcterms:modified>
</cp:coreProperties>
</file>